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8BEDC7">
      <w:pPr>
        <w:pStyle w:val="2"/>
        <w:rPr>
          <w:rFonts w:hint="eastAsia" w:eastAsia="仿宋_GB2312" w:cs="Times New Roman"/>
          <w:sz w:val="32"/>
          <w:szCs w:val="32"/>
          <w:lang w:val="en-US" w:eastAsia="zh-CN"/>
        </w:rPr>
      </w:pPr>
      <w:bookmarkStart w:id="0" w:name="_GoBack"/>
      <w:bookmarkEnd w:id="0"/>
    </w:p>
    <w:tbl>
      <w:tblPr>
        <w:tblStyle w:val="8"/>
        <w:tblW w:w="1283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0"/>
        <w:gridCol w:w="1724"/>
        <w:gridCol w:w="1725"/>
        <w:gridCol w:w="1294"/>
        <w:gridCol w:w="1256"/>
        <w:gridCol w:w="1256"/>
        <w:gridCol w:w="1275"/>
        <w:gridCol w:w="1341"/>
        <w:gridCol w:w="1462"/>
        <w:gridCol w:w="769"/>
      </w:tblGrid>
      <w:tr w14:paraId="6871B03E">
        <w:trPr>
          <w:trHeight w:val="551" w:hRule="atLeast"/>
        </w:trPr>
        <w:tc>
          <w:tcPr>
            <w:tcW w:w="2454" w:type="dxa"/>
            <w:gridSpan w:val="2"/>
            <w:tcBorders>
              <w:top w:val="nil"/>
              <w:left w:val="nil"/>
              <w:bottom w:val="nil"/>
              <w:right w:val="nil"/>
            </w:tcBorders>
            <w:shd w:val="clear" w:color="auto" w:fill="auto"/>
            <w:vAlign w:val="bottom"/>
          </w:tcPr>
          <w:p w14:paraId="163DB690">
            <w:pPr>
              <w:keepNext w:val="0"/>
              <w:keepLines w:val="0"/>
              <w:widowControl/>
              <w:suppressLineNumbers w:val="0"/>
              <w:jc w:val="left"/>
              <w:textAlignment w:val="bottom"/>
              <w:rPr>
                <w:rFonts w:hint="default" w:ascii="黑体" w:hAnsi="宋体" w:eastAsia="黑体" w:cs="黑体"/>
                <w:i w:val="0"/>
                <w:iCs w:val="0"/>
                <w:color w:val="000000"/>
                <w:sz w:val="32"/>
                <w:szCs w:val="32"/>
                <w:u w:val="none"/>
                <w:lang w:val="en-US"/>
              </w:rPr>
            </w:pPr>
            <w:r>
              <w:rPr>
                <w:rFonts w:hint="eastAsia" w:ascii="黑体" w:hAnsi="宋体" w:eastAsia="黑体" w:cs="黑体"/>
                <w:i w:val="0"/>
                <w:iCs w:val="0"/>
                <w:color w:val="000000"/>
                <w:kern w:val="0"/>
                <w:sz w:val="32"/>
                <w:szCs w:val="32"/>
                <w:u w:val="none"/>
                <w:lang w:val="en-US" w:eastAsia="zh-CN" w:bidi="ar"/>
              </w:rPr>
              <w:t>附件1</w:t>
            </w:r>
          </w:p>
        </w:tc>
        <w:tc>
          <w:tcPr>
            <w:tcW w:w="1725" w:type="dxa"/>
            <w:tcBorders>
              <w:top w:val="nil"/>
              <w:left w:val="nil"/>
              <w:bottom w:val="nil"/>
              <w:right w:val="nil"/>
            </w:tcBorders>
            <w:shd w:val="clear" w:color="auto" w:fill="auto"/>
            <w:vAlign w:val="bottom"/>
          </w:tcPr>
          <w:p w14:paraId="373A8FB6">
            <w:pPr>
              <w:jc w:val="left"/>
              <w:rPr>
                <w:rFonts w:hint="eastAsia" w:ascii="宋体" w:hAnsi="宋体" w:eastAsia="宋体" w:cs="宋体"/>
                <w:i w:val="0"/>
                <w:iCs w:val="0"/>
                <w:color w:val="000000"/>
                <w:sz w:val="20"/>
                <w:szCs w:val="20"/>
                <w:u w:val="none"/>
              </w:rPr>
            </w:pPr>
          </w:p>
        </w:tc>
        <w:tc>
          <w:tcPr>
            <w:tcW w:w="1294" w:type="dxa"/>
            <w:tcBorders>
              <w:top w:val="nil"/>
              <w:left w:val="nil"/>
              <w:bottom w:val="nil"/>
              <w:right w:val="nil"/>
            </w:tcBorders>
            <w:shd w:val="clear" w:color="auto" w:fill="auto"/>
            <w:vAlign w:val="bottom"/>
          </w:tcPr>
          <w:p w14:paraId="11060B82">
            <w:pPr>
              <w:jc w:val="left"/>
              <w:rPr>
                <w:rFonts w:hint="eastAsia" w:ascii="宋体" w:hAnsi="宋体" w:eastAsia="宋体" w:cs="宋体"/>
                <w:i w:val="0"/>
                <w:iCs w:val="0"/>
                <w:color w:val="000000"/>
                <w:sz w:val="20"/>
                <w:szCs w:val="20"/>
                <w:u w:val="none"/>
              </w:rPr>
            </w:pPr>
          </w:p>
        </w:tc>
        <w:tc>
          <w:tcPr>
            <w:tcW w:w="1256" w:type="dxa"/>
            <w:tcBorders>
              <w:top w:val="nil"/>
              <w:left w:val="nil"/>
              <w:bottom w:val="nil"/>
              <w:right w:val="nil"/>
            </w:tcBorders>
            <w:shd w:val="clear" w:color="auto" w:fill="auto"/>
            <w:vAlign w:val="bottom"/>
          </w:tcPr>
          <w:p w14:paraId="5D056F14">
            <w:pPr>
              <w:jc w:val="left"/>
              <w:rPr>
                <w:rFonts w:hint="eastAsia" w:ascii="宋体" w:hAnsi="宋体" w:eastAsia="宋体" w:cs="宋体"/>
                <w:i w:val="0"/>
                <w:iCs w:val="0"/>
                <w:color w:val="000000"/>
                <w:sz w:val="20"/>
                <w:szCs w:val="20"/>
                <w:u w:val="none"/>
              </w:rPr>
            </w:pPr>
          </w:p>
        </w:tc>
        <w:tc>
          <w:tcPr>
            <w:tcW w:w="1256" w:type="dxa"/>
            <w:tcBorders>
              <w:top w:val="nil"/>
              <w:left w:val="nil"/>
              <w:bottom w:val="nil"/>
              <w:right w:val="nil"/>
            </w:tcBorders>
            <w:shd w:val="clear" w:color="auto" w:fill="auto"/>
            <w:vAlign w:val="bottom"/>
          </w:tcPr>
          <w:p w14:paraId="2ECE55C9">
            <w:pPr>
              <w:jc w:val="left"/>
              <w:rPr>
                <w:rFonts w:hint="eastAsia" w:ascii="宋体" w:hAnsi="宋体" w:eastAsia="宋体" w:cs="宋体"/>
                <w:i w:val="0"/>
                <w:iCs w:val="0"/>
                <w:color w:val="000000"/>
                <w:sz w:val="20"/>
                <w:szCs w:val="20"/>
                <w:u w:val="none"/>
              </w:rPr>
            </w:pPr>
          </w:p>
        </w:tc>
        <w:tc>
          <w:tcPr>
            <w:tcW w:w="1275" w:type="dxa"/>
            <w:tcBorders>
              <w:top w:val="nil"/>
              <w:left w:val="nil"/>
              <w:bottom w:val="nil"/>
              <w:right w:val="nil"/>
            </w:tcBorders>
            <w:shd w:val="clear" w:color="auto" w:fill="auto"/>
            <w:vAlign w:val="bottom"/>
          </w:tcPr>
          <w:p w14:paraId="4ABBED98">
            <w:pPr>
              <w:jc w:val="left"/>
              <w:rPr>
                <w:rFonts w:hint="eastAsia" w:ascii="宋体" w:hAnsi="宋体" w:eastAsia="宋体" w:cs="宋体"/>
                <w:i w:val="0"/>
                <w:iCs w:val="0"/>
                <w:color w:val="000000"/>
                <w:sz w:val="20"/>
                <w:szCs w:val="20"/>
                <w:u w:val="none"/>
              </w:rPr>
            </w:pPr>
          </w:p>
        </w:tc>
        <w:tc>
          <w:tcPr>
            <w:tcW w:w="1341" w:type="dxa"/>
            <w:tcBorders>
              <w:top w:val="nil"/>
              <w:left w:val="nil"/>
              <w:bottom w:val="nil"/>
              <w:right w:val="nil"/>
            </w:tcBorders>
            <w:shd w:val="clear" w:color="auto" w:fill="auto"/>
            <w:vAlign w:val="bottom"/>
          </w:tcPr>
          <w:p w14:paraId="48C011EF">
            <w:pPr>
              <w:jc w:val="left"/>
              <w:rPr>
                <w:rFonts w:hint="eastAsia" w:ascii="宋体" w:hAnsi="宋体" w:eastAsia="宋体" w:cs="宋体"/>
                <w:i w:val="0"/>
                <w:iCs w:val="0"/>
                <w:color w:val="000000"/>
                <w:sz w:val="20"/>
                <w:szCs w:val="20"/>
                <w:u w:val="none"/>
              </w:rPr>
            </w:pPr>
          </w:p>
        </w:tc>
        <w:tc>
          <w:tcPr>
            <w:tcW w:w="1462" w:type="dxa"/>
            <w:tcBorders>
              <w:top w:val="nil"/>
              <w:left w:val="nil"/>
              <w:bottom w:val="nil"/>
              <w:right w:val="nil"/>
            </w:tcBorders>
            <w:shd w:val="clear" w:color="auto" w:fill="auto"/>
            <w:vAlign w:val="bottom"/>
          </w:tcPr>
          <w:p w14:paraId="7A8DBAEE">
            <w:pPr>
              <w:jc w:val="left"/>
              <w:rPr>
                <w:rFonts w:hint="eastAsia" w:ascii="宋体" w:hAnsi="宋体" w:eastAsia="宋体" w:cs="宋体"/>
                <w:i w:val="0"/>
                <w:iCs w:val="0"/>
                <w:color w:val="000000"/>
                <w:sz w:val="20"/>
                <w:szCs w:val="20"/>
                <w:u w:val="none"/>
              </w:rPr>
            </w:pPr>
          </w:p>
        </w:tc>
        <w:tc>
          <w:tcPr>
            <w:tcW w:w="769" w:type="dxa"/>
            <w:tcBorders>
              <w:top w:val="nil"/>
              <w:left w:val="nil"/>
              <w:bottom w:val="nil"/>
              <w:right w:val="nil"/>
            </w:tcBorders>
            <w:shd w:val="clear" w:color="auto" w:fill="auto"/>
            <w:vAlign w:val="bottom"/>
          </w:tcPr>
          <w:p w14:paraId="4B2E45EA">
            <w:pPr>
              <w:jc w:val="left"/>
              <w:rPr>
                <w:rFonts w:hint="eastAsia" w:ascii="宋体" w:hAnsi="宋体" w:eastAsia="宋体" w:cs="宋体"/>
                <w:i w:val="0"/>
                <w:iCs w:val="0"/>
                <w:color w:val="000000"/>
                <w:sz w:val="20"/>
                <w:szCs w:val="20"/>
                <w:u w:val="none"/>
              </w:rPr>
            </w:pPr>
          </w:p>
        </w:tc>
      </w:tr>
      <w:tr w14:paraId="27277BA6">
        <w:trPr>
          <w:trHeight w:val="826" w:hRule="atLeast"/>
        </w:trPr>
        <w:tc>
          <w:tcPr>
            <w:tcW w:w="12832" w:type="dxa"/>
            <w:gridSpan w:val="10"/>
            <w:tcBorders>
              <w:top w:val="nil"/>
              <w:left w:val="nil"/>
              <w:bottom w:val="single" w:color="000000" w:sz="4" w:space="0"/>
              <w:right w:val="nil"/>
            </w:tcBorders>
            <w:shd w:val="clear" w:color="auto" w:fill="auto"/>
            <w:vAlign w:val="bottom"/>
          </w:tcPr>
          <w:p w14:paraId="40162369">
            <w:pPr>
              <w:keepNext w:val="0"/>
              <w:keepLines w:val="0"/>
              <w:widowControl/>
              <w:suppressLineNumbers w:val="0"/>
              <w:jc w:val="center"/>
              <w:textAlignment w:val="bottom"/>
              <w:rPr>
                <w:rFonts w:ascii="方正小标宋_GBK" w:hAnsi="方正小标宋_GBK" w:eastAsia="方正小标宋_GBK" w:cs="方正小标宋_GBK"/>
                <w:i w:val="0"/>
                <w:iCs w:val="0"/>
                <w:color w:val="000000"/>
                <w:sz w:val="44"/>
                <w:szCs w:val="44"/>
                <w:u w:val="none"/>
              </w:rPr>
            </w:pPr>
            <w:r>
              <w:rPr>
                <w:rFonts w:hint="eastAsia" w:ascii="方正小标宋_GBK" w:hAnsi="方正小标宋_GBK" w:eastAsia="方正小标宋_GBK" w:cs="方正小标宋_GBK"/>
                <w:i w:val="0"/>
                <w:iCs w:val="0"/>
                <w:color w:val="000000"/>
                <w:kern w:val="0"/>
                <w:sz w:val="44"/>
                <w:szCs w:val="44"/>
                <w:u w:val="none"/>
                <w:lang w:val="en-US" w:eastAsia="zh-CN" w:bidi="ar"/>
              </w:rPr>
              <w:t>相城区发改委行政检查年度计划</w:t>
            </w:r>
          </w:p>
        </w:tc>
      </w:tr>
      <w:tr w14:paraId="030AB1FB">
        <w:trPr>
          <w:trHeight w:val="1110" w:hRule="atLeast"/>
        </w:trPr>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68F2E">
            <w:pPr>
              <w:autoSpaceDE w:val="0"/>
              <w:autoSpaceDN w:val="0"/>
              <w:spacing w:line="360" w:lineRule="exact"/>
              <w:jc w:val="center"/>
              <w:rPr>
                <w:rFonts w:hint="eastAsia" w:ascii="Times New Roman" w:hAnsi="黑体" w:eastAsia="黑体" w:cs="Times New Roman"/>
                <w:kern w:val="0"/>
                <w:sz w:val="24"/>
              </w:rPr>
            </w:pPr>
            <w:r>
              <w:rPr>
                <w:rFonts w:hint="eastAsia" w:ascii="方正黑体_GBK" w:hAnsi="方正黑体_GBK" w:eastAsia="方正黑体_GBK" w:cs="方正黑体_GBK"/>
                <w:snapToGrid w:val="0"/>
                <w:kern w:val="0"/>
                <w:sz w:val="24"/>
                <w:szCs w:val="24"/>
                <w:lang w:val="en-US" w:eastAsia="zh-CN"/>
              </w:rPr>
              <w:t>序号</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880E1">
            <w:pPr>
              <w:autoSpaceDE w:val="0"/>
              <w:autoSpaceDN w:val="0"/>
              <w:spacing w:line="360" w:lineRule="exact"/>
              <w:jc w:val="center"/>
              <w:rPr>
                <w:rFonts w:hint="eastAsia" w:ascii="Times New Roman" w:hAnsi="黑体" w:eastAsia="黑体" w:cs="Times New Roman"/>
                <w:kern w:val="0"/>
                <w:sz w:val="24"/>
              </w:rPr>
            </w:pPr>
            <w:r>
              <w:rPr>
                <w:rFonts w:hint="eastAsia" w:ascii="方正黑体_GBK" w:hAnsi="方正黑体_GBK" w:eastAsia="方正黑体_GBK" w:cs="方正黑体_GBK"/>
                <w:snapToGrid w:val="0"/>
                <w:kern w:val="0"/>
                <w:sz w:val="24"/>
                <w:szCs w:val="24"/>
                <w:lang w:val="en-US" w:eastAsia="zh-CN"/>
              </w:rPr>
              <w:t>行政</w:t>
            </w:r>
            <w:r>
              <w:rPr>
                <w:rFonts w:hint="eastAsia" w:ascii="方正黑体_GBK" w:hAnsi="方正黑体_GBK" w:eastAsia="方正黑体_GBK" w:cs="方正黑体_GBK"/>
                <w:snapToGrid w:val="0"/>
                <w:kern w:val="0"/>
                <w:sz w:val="24"/>
                <w:szCs w:val="24"/>
              </w:rPr>
              <w:t>检查事项</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10AE0">
            <w:pPr>
              <w:autoSpaceDE w:val="0"/>
              <w:autoSpaceDN w:val="0"/>
              <w:spacing w:line="360" w:lineRule="exact"/>
              <w:jc w:val="center"/>
              <w:rPr>
                <w:rFonts w:hint="eastAsia" w:ascii="Times New Roman" w:hAnsi="黑体" w:eastAsia="黑体" w:cs="Times New Roman"/>
                <w:kern w:val="0"/>
                <w:sz w:val="24"/>
              </w:rPr>
            </w:pPr>
            <w:r>
              <w:rPr>
                <w:rFonts w:hint="eastAsia" w:ascii="方正黑体_GBK" w:hAnsi="方正黑体_GBK" w:eastAsia="方正黑体_GBK" w:cs="方正黑体_GBK"/>
                <w:snapToGrid w:val="0"/>
                <w:kern w:val="0"/>
                <w:sz w:val="24"/>
                <w:szCs w:val="24"/>
                <w:lang w:val="en-US" w:eastAsia="zh-CN"/>
              </w:rPr>
              <w:t>检查对象名称</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2AE0F">
            <w:pPr>
              <w:autoSpaceDE w:val="0"/>
              <w:autoSpaceDN w:val="0"/>
              <w:spacing w:line="360" w:lineRule="exact"/>
              <w:jc w:val="center"/>
              <w:rPr>
                <w:rFonts w:hint="eastAsia" w:ascii="Times New Roman" w:hAnsi="黑体" w:eastAsia="黑体" w:cs="Times New Roman"/>
                <w:kern w:val="0"/>
                <w:sz w:val="24"/>
              </w:rPr>
            </w:pPr>
            <w:r>
              <w:rPr>
                <w:rFonts w:hint="eastAsia" w:ascii="方正黑体_GBK" w:hAnsi="方正黑体_GBK" w:eastAsia="方正黑体_GBK" w:cs="方正黑体_GBK"/>
                <w:snapToGrid w:val="0"/>
                <w:kern w:val="0"/>
                <w:sz w:val="24"/>
                <w:szCs w:val="24"/>
              </w:rPr>
              <w:t>检查方式</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9C465">
            <w:pPr>
              <w:autoSpaceDE w:val="0"/>
              <w:autoSpaceDN w:val="0"/>
              <w:spacing w:line="360" w:lineRule="exact"/>
              <w:jc w:val="center"/>
              <w:rPr>
                <w:rFonts w:hint="eastAsia" w:ascii="Times New Roman" w:hAnsi="黑体" w:eastAsia="黑体" w:cs="Times New Roman"/>
                <w:kern w:val="0"/>
                <w:sz w:val="24"/>
              </w:rPr>
            </w:pPr>
            <w:r>
              <w:rPr>
                <w:rFonts w:hint="eastAsia" w:ascii="方正黑体_GBK" w:hAnsi="方正黑体_GBK" w:eastAsia="方正黑体_GBK" w:cs="方正黑体_GBK"/>
                <w:snapToGrid w:val="0"/>
                <w:kern w:val="0"/>
                <w:sz w:val="24"/>
                <w:szCs w:val="24"/>
                <w:lang w:val="en-US" w:eastAsia="zh-CN"/>
              </w:rPr>
              <w:t>责任科室</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60BDB">
            <w:pPr>
              <w:autoSpaceDE w:val="0"/>
              <w:autoSpaceDN w:val="0"/>
              <w:spacing w:line="360" w:lineRule="exact"/>
              <w:jc w:val="center"/>
              <w:rPr>
                <w:rFonts w:hint="eastAsia" w:ascii="Times New Roman" w:hAnsi="黑体" w:eastAsia="黑体" w:cs="Times New Roman"/>
                <w:kern w:val="0"/>
                <w:sz w:val="24"/>
              </w:rPr>
            </w:pPr>
            <w:r>
              <w:rPr>
                <w:rFonts w:hint="eastAsia" w:ascii="方正黑体_GBK" w:hAnsi="方正黑体_GBK" w:eastAsia="方正黑体_GBK" w:cs="方正黑体_GBK"/>
                <w:snapToGrid w:val="0"/>
                <w:kern w:val="0"/>
                <w:sz w:val="24"/>
                <w:szCs w:val="24"/>
                <w:lang w:val="en-US" w:eastAsia="zh-CN"/>
              </w:rPr>
              <w:t>检查时间</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52138">
            <w:pPr>
              <w:autoSpaceDE w:val="0"/>
              <w:autoSpaceDN w:val="0"/>
              <w:spacing w:line="360" w:lineRule="exact"/>
              <w:jc w:val="center"/>
              <w:rPr>
                <w:rFonts w:hint="eastAsia" w:ascii="Times New Roman" w:hAnsi="黑体" w:eastAsia="黑体" w:cs="Times New Roman"/>
                <w:kern w:val="0"/>
                <w:sz w:val="24"/>
              </w:rPr>
            </w:pPr>
            <w:r>
              <w:rPr>
                <w:rFonts w:hint="eastAsia" w:ascii="方正黑体_GBK" w:hAnsi="方正黑体_GBK" w:eastAsia="方正黑体_GBK" w:cs="方正黑体_GBK"/>
                <w:snapToGrid w:val="0"/>
                <w:kern w:val="0"/>
                <w:sz w:val="24"/>
                <w:szCs w:val="24"/>
              </w:rPr>
              <w:t>检查频次</w:t>
            </w: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E1666">
            <w:pPr>
              <w:autoSpaceDE w:val="0"/>
              <w:autoSpaceDN w:val="0"/>
              <w:spacing w:line="360" w:lineRule="exact"/>
              <w:jc w:val="center"/>
              <w:rPr>
                <w:rFonts w:hint="eastAsia" w:ascii="Times New Roman" w:hAnsi="黑体" w:eastAsia="黑体" w:cs="Times New Roman"/>
                <w:kern w:val="0"/>
                <w:sz w:val="24"/>
              </w:rPr>
            </w:pPr>
            <w:r>
              <w:rPr>
                <w:rFonts w:hint="eastAsia" w:ascii="方正黑体_GBK" w:hAnsi="方正黑体_GBK" w:eastAsia="方正黑体_GBK" w:cs="方正黑体_GBK"/>
                <w:snapToGrid w:val="0"/>
                <w:kern w:val="0"/>
                <w:sz w:val="24"/>
                <w:szCs w:val="24"/>
              </w:rPr>
              <w:t>检查层级</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E8087">
            <w:pPr>
              <w:autoSpaceDE w:val="0"/>
              <w:autoSpaceDN w:val="0"/>
              <w:spacing w:line="360" w:lineRule="exact"/>
              <w:jc w:val="center"/>
              <w:rPr>
                <w:rFonts w:hint="eastAsia" w:ascii="Times New Roman" w:hAnsi="黑体" w:eastAsia="黑体" w:cs="Times New Roman"/>
                <w:kern w:val="0"/>
                <w:sz w:val="24"/>
              </w:rPr>
            </w:pPr>
            <w:r>
              <w:rPr>
                <w:rFonts w:hint="eastAsia" w:ascii="方正黑体_GBK" w:hAnsi="方正黑体_GBK" w:eastAsia="方正黑体_GBK" w:cs="方正黑体_GBK"/>
                <w:snapToGrid w:val="0"/>
                <w:kern w:val="0"/>
                <w:sz w:val="24"/>
                <w:szCs w:val="24"/>
                <w:lang w:val="en-US" w:eastAsia="zh-CN"/>
              </w:rPr>
              <w:t>拟联合单位</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FF1AC">
            <w:pPr>
              <w:jc w:val="center"/>
              <w:rPr>
                <w:rFonts w:hint="eastAsia" w:ascii="Times New Roman" w:hAnsi="黑体" w:eastAsia="黑体" w:cs="Times New Roman"/>
                <w:kern w:val="0"/>
                <w:sz w:val="24"/>
                <w:lang w:val="en-US" w:eastAsia="zh-CN"/>
              </w:rPr>
            </w:pPr>
            <w:r>
              <w:rPr>
                <w:rFonts w:hint="eastAsia" w:hAnsi="黑体" w:eastAsia="黑体" w:cs="Times New Roman"/>
                <w:kern w:val="0"/>
                <w:sz w:val="24"/>
                <w:lang w:val="en-US" w:eastAsia="zh-CN"/>
              </w:rPr>
              <w:t>备注</w:t>
            </w:r>
          </w:p>
        </w:tc>
      </w:tr>
      <w:tr w14:paraId="690AF061">
        <w:trPr>
          <w:trHeight w:val="312" w:hRule="atLeast"/>
        </w:trPr>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5A377">
            <w:pPr>
              <w:jc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1F757">
            <w:pPr>
              <w:jc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对粮食收购行为的检查</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9C3CF">
            <w:pPr>
              <w:jc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粮食收购企业</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791C9">
            <w:pPr>
              <w:jc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现场检查</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CA3B4">
            <w:pPr>
              <w:jc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粮食和物资储备科</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F46A0">
            <w:pPr>
              <w:jc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5-6月、10-11月</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47C67">
            <w:pPr>
              <w:jc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2次/年</w:t>
            </w: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9A53D">
            <w:pPr>
              <w:jc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县级</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87C7E">
            <w:pPr>
              <w:jc w:val="center"/>
              <w:rPr>
                <w:rFonts w:hint="default" w:ascii="宋体" w:hAnsi="宋体" w:eastAsia="宋体" w:cs="宋体"/>
                <w:b/>
                <w:bCs/>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苏州市相城区市场监督管理局</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EE036">
            <w:pPr>
              <w:jc w:val="center"/>
              <w:rPr>
                <w:rFonts w:hint="eastAsia" w:ascii="宋体" w:hAnsi="宋体" w:eastAsia="宋体" w:cs="宋体"/>
                <w:i w:val="0"/>
                <w:iCs w:val="0"/>
                <w:color w:val="000000"/>
                <w:sz w:val="20"/>
                <w:szCs w:val="20"/>
                <w:u w:val="none"/>
              </w:rPr>
            </w:pPr>
          </w:p>
        </w:tc>
      </w:tr>
      <w:tr w14:paraId="5119B314">
        <w:trPr>
          <w:trHeight w:val="293" w:hRule="atLeast"/>
        </w:trPr>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DCEAA">
            <w:pPr>
              <w:jc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2</w:t>
            </w: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AD8B0">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z w:val="20"/>
                <w:szCs w:val="20"/>
                <w:u w:val="none"/>
                <w:lang w:val="en-US" w:eastAsia="zh-CN"/>
              </w:rPr>
              <w:t>对粮食经营者经营行为的检查</w:t>
            </w: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AD8F6">
            <w:pPr>
              <w:jc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粮油承储企业</w:t>
            </w: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AAF3E">
            <w:pPr>
              <w:jc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sz w:val="20"/>
                <w:szCs w:val="20"/>
                <w:u w:val="none"/>
                <w:lang w:val="en-US" w:eastAsia="zh-CN"/>
              </w:rPr>
              <w:t>现场检查</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79F0F">
            <w:pPr>
              <w:jc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sz w:val="20"/>
                <w:szCs w:val="20"/>
                <w:u w:val="none"/>
                <w:lang w:val="en-US" w:eastAsia="zh-CN"/>
              </w:rPr>
              <w:t>粮食和物资储备科</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FC77D">
            <w:pPr>
              <w:jc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4月、9月</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9B355">
            <w:pPr>
              <w:jc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sz w:val="20"/>
                <w:szCs w:val="20"/>
                <w:u w:val="none"/>
                <w:lang w:val="en-US" w:eastAsia="zh-CN"/>
              </w:rPr>
              <w:t>2次/年</w:t>
            </w: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3B4E2">
            <w:pPr>
              <w:jc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sz w:val="20"/>
                <w:szCs w:val="20"/>
                <w:u w:val="none"/>
                <w:lang w:val="en-US" w:eastAsia="zh-CN"/>
              </w:rPr>
              <w:t>县级</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B2BC0">
            <w:pPr>
              <w:jc w:val="center"/>
              <w:rPr>
                <w:rFonts w:hint="default" w:ascii="宋体" w:hAnsi="宋体" w:eastAsia="宋体" w:cs="宋体"/>
                <w:b/>
                <w:bCs/>
                <w:i w:val="0"/>
                <w:iCs w:val="0"/>
                <w:color w:val="000000"/>
                <w:sz w:val="20"/>
                <w:szCs w:val="20"/>
                <w:u w:val="none"/>
                <w:lang w:val="en-US" w:eastAsia="zh-CN"/>
              </w:rPr>
            </w:pPr>
            <w:r>
              <w:rPr>
                <w:rFonts w:hint="eastAsia" w:ascii="宋体" w:hAnsi="宋体" w:cs="宋体"/>
                <w:b/>
                <w:bCs/>
                <w:i w:val="0"/>
                <w:iCs w:val="0"/>
                <w:color w:val="000000"/>
                <w:sz w:val="20"/>
                <w:szCs w:val="20"/>
                <w:u w:val="none"/>
                <w:lang w:val="en-US" w:eastAsia="zh-CN"/>
              </w:rPr>
              <w:t>/</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CCD02">
            <w:pPr>
              <w:jc w:val="center"/>
              <w:rPr>
                <w:rFonts w:hint="eastAsia" w:ascii="宋体" w:hAnsi="宋体" w:eastAsia="宋体" w:cs="宋体"/>
                <w:i w:val="0"/>
                <w:iCs w:val="0"/>
                <w:color w:val="000000"/>
                <w:sz w:val="20"/>
                <w:szCs w:val="20"/>
                <w:u w:val="none"/>
              </w:rPr>
            </w:pPr>
          </w:p>
        </w:tc>
      </w:tr>
      <w:tr w14:paraId="1D018E2B">
        <w:trPr>
          <w:trHeight w:val="293" w:hRule="atLeast"/>
        </w:trPr>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40ED0">
            <w:pPr>
              <w:jc w:val="center"/>
              <w:rPr>
                <w:rFonts w:hint="eastAsia" w:ascii="宋体" w:hAnsi="宋体" w:eastAsia="宋体" w:cs="宋体"/>
                <w:i w:val="0"/>
                <w:iCs w:val="0"/>
                <w:color w:val="000000"/>
                <w:sz w:val="20"/>
                <w:szCs w:val="20"/>
                <w:u w:val="none"/>
              </w:rPr>
            </w:pP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A91E3">
            <w:pPr>
              <w:jc w:val="center"/>
              <w:rPr>
                <w:rFonts w:hint="eastAsia" w:ascii="宋体" w:hAnsi="宋体" w:eastAsia="宋体" w:cs="宋体"/>
                <w:i w:val="0"/>
                <w:iCs w:val="0"/>
                <w:color w:val="000000"/>
                <w:sz w:val="20"/>
                <w:szCs w:val="20"/>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E7518">
            <w:pPr>
              <w:jc w:val="center"/>
              <w:rPr>
                <w:rFonts w:hint="eastAsia" w:ascii="宋体" w:hAnsi="宋体" w:eastAsia="宋体" w:cs="宋体"/>
                <w:i w:val="0"/>
                <w:iCs w:val="0"/>
                <w:color w:val="000000"/>
                <w:sz w:val="20"/>
                <w:szCs w:val="20"/>
                <w:u w:val="none"/>
              </w:rPr>
            </w:pP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5C06C">
            <w:pPr>
              <w:jc w:val="center"/>
              <w:rPr>
                <w:rFonts w:hint="eastAsia" w:ascii="宋体" w:hAnsi="宋体" w:eastAsia="宋体" w:cs="宋体"/>
                <w:i w:val="0"/>
                <w:iCs w:val="0"/>
                <w:color w:val="000000"/>
                <w:sz w:val="20"/>
                <w:szCs w:val="20"/>
                <w:u w:val="none"/>
              </w:rPr>
            </w:pP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78036">
            <w:pPr>
              <w:jc w:val="center"/>
              <w:rPr>
                <w:rFonts w:hint="eastAsia" w:ascii="宋体" w:hAnsi="宋体" w:eastAsia="宋体" w:cs="宋体"/>
                <w:i w:val="0"/>
                <w:iCs w:val="0"/>
                <w:color w:val="000000"/>
                <w:sz w:val="20"/>
                <w:szCs w:val="20"/>
                <w:u w:val="none"/>
              </w:rPr>
            </w:pP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2E69A">
            <w:pPr>
              <w:jc w:val="center"/>
              <w:rPr>
                <w:rFonts w:hint="eastAsia" w:ascii="宋体" w:hAnsi="宋体" w:eastAsia="宋体" w:cs="宋体"/>
                <w:i w:val="0"/>
                <w:iCs w:val="0"/>
                <w:color w:val="000000"/>
                <w:sz w:val="20"/>
                <w:szCs w:val="20"/>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B7436">
            <w:pPr>
              <w:jc w:val="center"/>
              <w:rPr>
                <w:rFonts w:hint="eastAsia" w:ascii="宋体" w:hAnsi="宋体" w:eastAsia="宋体" w:cs="宋体"/>
                <w:i w:val="0"/>
                <w:iCs w:val="0"/>
                <w:color w:val="000000"/>
                <w:sz w:val="20"/>
                <w:szCs w:val="20"/>
                <w:u w:val="none"/>
              </w:rPr>
            </w:pP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906B9">
            <w:pPr>
              <w:jc w:val="center"/>
              <w:rPr>
                <w:rFonts w:hint="eastAsia" w:ascii="宋体" w:hAnsi="宋体" w:eastAsia="宋体" w:cs="宋体"/>
                <w:i w:val="0"/>
                <w:iCs w:val="0"/>
                <w:color w:val="000000"/>
                <w:sz w:val="20"/>
                <w:szCs w:val="20"/>
                <w:u w:val="none"/>
              </w:rPr>
            </w:pP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C046A">
            <w:pPr>
              <w:jc w:val="center"/>
              <w:rPr>
                <w:rFonts w:hint="eastAsia" w:ascii="宋体" w:hAnsi="宋体" w:eastAsia="宋体" w:cs="宋体"/>
                <w:b/>
                <w:bCs/>
                <w:i w:val="0"/>
                <w:iCs w:val="0"/>
                <w:color w:val="000000"/>
                <w:sz w:val="20"/>
                <w:szCs w:val="20"/>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87A32">
            <w:pPr>
              <w:jc w:val="center"/>
              <w:rPr>
                <w:rFonts w:hint="eastAsia" w:ascii="宋体" w:hAnsi="宋体" w:eastAsia="宋体" w:cs="宋体"/>
                <w:i w:val="0"/>
                <w:iCs w:val="0"/>
                <w:color w:val="000000"/>
                <w:sz w:val="20"/>
                <w:szCs w:val="20"/>
                <w:u w:val="none"/>
              </w:rPr>
            </w:pPr>
          </w:p>
        </w:tc>
      </w:tr>
      <w:tr w14:paraId="34AC858F">
        <w:trPr>
          <w:trHeight w:val="293" w:hRule="atLeast"/>
        </w:trPr>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19369">
            <w:pPr>
              <w:jc w:val="center"/>
              <w:rPr>
                <w:rFonts w:hint="eastAsia" w:ascii="宋体" w:hAnsi="宋体" w:eastAsia="宋体" w:cs="宋体"/>
                <w:i w:val="0"/>
                <w:iCs w:val="0"/>
                <w:color w:val="000000"/>
                <w:sz w:val="20"/>
                <w:szCs w:val="20"/>
                <w:u w:val="none"/>
              </w:rPr>
            </w:pP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B79E6">
            <w:pPr>
              <w:jc w:val="center"/>
              <w:rPr>
                <w:rFonts w:hint="eastAsia" w:ascii="宋体" w:hAnsi="宋体" w:eastAsia="宋体" w:cs="宋体"/>
                <w:i w:val="0"/>
                <w:iCs w:val="0"/>
                <w:color w:val="000000"/>
                <w:sz w:val="20"/>
                <w:szCs w:val="20"/>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39957">
            <w:pPr>
              <w:jc w:val="center"/>
              <w:rPr>
                <w:rFonts w:hint="eastAsia" w:ascii="宋体" w:hAnsi="宋体" w:eastAsia="宋体" w:cs="宋体"/>
                <w:i w:val="0"/>
                <w:iCs w:val="0"/>
                <w:color w:val="000000"/>
                <w:sz w:val="20"/>
                <w:szCs w:val="20"/>
                <w:u w:val="none"/>
              </w:rPr>
            </w:pP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334CE">
            <w:pPr>
              <w:jc w:val="center"/>
              <w:rPr>
                <w:rFonts w:hint="eastAsia" w:ascii="宋体" w:hAnsi="宋体" w:eastAsia="宋体" w:cs="宋体"/>
                <w:i w:val="0"/>
                <w:iCs w:val="0"/>
                <w:color w:val="000000"/>
                <w:sz w:val="20"/>
                <w:szCs w:val="20"/>
                <w:u w:val="none"/>
              </w:rPr>
            </w:pP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C4976">
            <w:pPr>
              <w:jc w:val="center"/>
              <w:rPr>
                <w:rFonts w:hint="eastAsia" w:ascii="宋体" w:hAnsi="宋体" w:eastAsia="宋体" w:cs="宋体"/>
                <w:i w:val="0"/>
                <w:iCs w:val="0"/>
                <w:color w:val="000000"/>
                <w:sz w:val="20"/>
                <w:szCs w:val="20"/>
                <w:u w:val="none"/>
              </w:rPr>
            </w:pP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F3EFE">
            <w:pPr>
              <w:jc w:val="center"/>
              <w:rPr>
                <w:rFonts w:hint="eastAsia" w:ascii="宋体" w:hAnsi="宋体" w:eastAsia="宋体" w:cs="宋体"/>
                <w:i w:val="0"/>
                <w:iCs w:val="0"/>
                <w:color w:val="000000"/>
                <w:sz w:val="20"/>
                <w:szCs w:val="20"/>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66F2C">
            <w:pPr>
              <w:jc w:val="center"/>
              <w:rPr>
                <w:rFonts w:hint="eastAsia" w:ascii="宋体" w:hAnsi="宋体" w:eastAsia="宋体" w:cs="宋体"/>
                <w:i w:val="0"/>
                <w:iCs w:val="0"/>
                <w:color w:val="000000"/>
                <w:sz w:val="20"/>
                <w:szCs w:val="20"/>
                <w:u w:val="none"/>
              </w:rPr>
            </w:pP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EB99C">
            <w:pPr>
              <w:jc w:val="center"/>
              <w:rPr>
                <w:rFonts w:hint="eastAsia" w:ascii="宋体" w:hAnsi="宋体" w:eastAsia="宋体" w:cs="宋体"/>
                <w:i w:val="0"/>
                <w:iCs w:val="0"/>
                <w:color w:val="000000"/>
                <w:sz w:val="20"/>
                <w:szCs w:val="20"/>
                <w:u w:val="none"/>
              </w:rPr>
            </w:pP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DA9AD">
            <w:pPr>
              <w:jc w:val="center"/>
              <w:rPr>
                <w:rFonts w:hint="eastAsia" w:ascii="宋体" w:hAnsi="宋体" w:eastAsia="宋体" w:cs="宋体"/>
                <w:b/>
                <w:bCs/>
                <w:i w:val="0"/>
                <w:iCs w:val="0"/>
                <w:color w:val="000000"/>
                <w:sz w:val="20"/>
                <w:szCs w:val="20"/>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5A6EB">
            <w:pPr>
              <w:jc w:val="center"/>
              <w:rPr>
                <w:rFonts w:hint="eastAsia" w:ascii="宋体" w:hAnsi="宋体" w:eastAsia="宋体" w:cs="宋体"/>
                <w:i w:val="0"/>
                <w:iCs w:val="0"/>
                <w:color w:val="000000"/>
                <w:sz w:val="20"/>
                <w:szCs w:val="20"/>
                <w:u w:val="none"/>
              </w:rPr>
            </w:pPr>
          </w:p>
        </w:tc>
      </w:tr>
      <w:tr w14:paraId="53D64439">
        <w:trPr>
          <w:trHeight w:val="293" w:hRule="atLeast"/>
        </w:trPr>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630A1">
            <w:pPr>
              <w:jc w:val="center"/>
              <w:rPr>
                <w:rFonts w:hint="eastAsia" w:ascii="宋体" w:hAnsi="宋体" w:eastAsia="宋体" w:cs="宋体"/>
                <w:i w:val="0"/>
                <w:iCs w:val="0"/>
                <w:color w:val="000000"/>
                <w:sz w:val="20"/>
                <w:szCs w:val="20"/>
                <w:u w:val="none"/>
              </w:rPr>
            </w:pP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8EB9E">
            <w:pPr>
              <w:jc w:val="center"/>
              <w:rPr>
                <w:rFonts w:hint="eastAsia" w:ascii="宋体" w:hAnsi="宋体" w:eastAsia="宋体" w:cs="宋体"/>
                <w:i w:val="0"/>
                <w:iCs w:val="0"/>
                <w:color w:val="000000"/>
                <w:sz w:val="20"/>
                <w:szCs w:val="20"/>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7F2DD">
            <w:pPr>
              <w:jc w:val="center"/>
              <w:rPr>
                <w:rFonts w:hint="eastAsia" w:ascii="宋体" w:hAnsi="宋体" w:eastAsia="宋体" w:cs="宋体"/>
                <w:i w:val="0"/>
                <w:iCs w:val="0"/>
                <w:color w:val="000000"/>
                <w:sz w:val="20"/>
                <w:szCs w:val="20"/>
                <w:u w:val="none"/>
              </w:rPr>
            </w:pP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3DE41">
            <w:pPr>
              <w:jc w:val="center"/>
              <w:rPr>
                <w:rFonts w:hint="eastAsia" w:ascii="宋体" w:hAnsi="宋体" w:eastAsia="宋体" w:cs="宋体"/>
                <w:i w:val="0"/>
                <w:iCs w:val="0"/>
                <w:color w:val="000000"/>
                <w:sz w:val="20"/>
                <w:szCs w:val="20"/>
                <w:u w:val="none"/>
              </w:rPr>
            </w:pP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E2512">
            <w:pPr>
              <w:jc w:val="center"/>
              <w:rPr>
                <w:rFonts w:hint="eastAsia" w:ascii="宋体" w:hAnsi="宋体" w:eastAsia="宋体" w:cs="宋体"/>
                <w:i w:val="0"/>
                <w:iCs w:val="0"/>
                <w:color w:val="000000"/>
                <w:sz w:val="20"/>
                <w:szCs w:val="20"/>
                <w:u w:val="none"/>
              </w:rPr>
            </w:pP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C3933">
            <w:pPr>
              <w:jc w:val="center"/>
              <w:rPr>
                <w:rFonts w:hint="eastAsia" w:ascii="宋体" w:hAnsi="宋体" w:eastAsia="宋体" w:cs="宋体"/>
                <w:i w:val="0"/>
                <w:iCs w:val="0"/>
                <w:color w:val="000000"/>
                <w:sz w:val="20"/>
                <w:szCs w:val="20"/>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BD4DE">
            <w:pPr>
              <w:jc w:val="center"/>
              <w:rPr>
                <w:rFonts w:hint="eastAsia" w:ascii="宋体" w:hAnsi="宋体" w:eastAsia="宋体" w:cs="宋体"/>
                <w:i w:val="0"/>
                <w:iCs w:val="0"/>
                <w:color w:val="000000"/>
                <w:sz w:val="20"/>
                <w:szCs w:val="20"/>
                <w:u w:val="none"/>
              </w:rPr>
            </w:pP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78170">
            <w:pPr>
              <w:jc w:val="center"/>
              <w:rPr>
                <w:rFonts w:hint="eastAsia" w:ascii="宋体" w:hAnsi="宋体" w:eastAsia="宋体" w:cs="宋体"/>
                <w:i w:val="0"/>
                <w:iCs w:val="0"/>
                <w:color w:val="000000"/>
                <w:sz w:val="20"/>
                <w:szCs w:val="20"/>
                <w:u w:val="none"/>
              </w:rPr>
            </w:pP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35BBD">
            <w:pPr>
              <w:jc w:val="center"/>
              <w:rPr>
                <w:rFonts w:hint="eastAsia" w:ascii="宋体" w:hAnsi="宋体" w:eastAsia="宋体" w:cs="宋体"/>
                <w:b/>
                <w:bCs/>
                <w:i w:val="0"/>
                <w:iCs w:val="0"/>
                <w:color w:val="000000"/>
                <w:sz w:val="20"/>
                <w:szCs w:val="20"/>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7B56C">
            <w:pPr>
              <w:jc w:val="center"/>
              <w:rPr>
                <w:rFonts w:hint="eastAsia" w:ascii="宋体" w:hAnsi="宋体" w:eastAsia="宋体" w:cs="宋体"/>
                <w:i w:val="0"/>
                <w:iCs w:val="0"/>
                <w:color w:val="000000"/>
                <w:sz w:val="20"/>
                <w:szCs w:val="20"/>
                <w:u w:val="none"/>
              </w:rPr>
            </w:pPr>
          </w:p>
        </w:tc>
      </w:tr>
      <w:tr w14:paraId="7B2AC560">
        <w:trPr>
          <w:trHeight w:val="293" w:hRule="atLeast"/>
        </w:trPr>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15923">
            <w:pPr>
              <w:jc w:val="center"/>
              <w:rPr>
                <w:rFonts w:hint="eastAsia" w:ascii="宋体" w:hAnsi="宋体" w:eastAsia="宋体" w:cs="宋体"/>
                <w:i w:val="0"/>
                <w:iCs w:val="0"/>
                <w:color w:val="000000"/>
                <w:sz w:val="20"/>
                <w:szCs w:val="20"/>
                <w:u w:val="none"/>
              </w:rPr>
            </w:pP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ED01F">
            <w:pPr>
              <w:jc w:val="center"/>
              <w:rPr>
                <w:rFonts w:hint="eastAsia" w:ascii="宋体" w:hAnsi="宋体" w:eastAsia="宋体" w:cs="宋体"/>
                <w:i w:val="0"/>
                <w:iCs w:val="0"/>
                <w:color w:val="000000"/>
                <w:sz w:val="20"/>
                <w:szCs w:val="20"/>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48F5F">
            <w:pPr>
              <w:jc w:val="center"/>
              <w:rPr>
                <w:rFonts w:hint="eastAsia" w:ascii="宋体" w:hAnsi="宋体" w:eastAsia="宋体" w:cs="宋体"/>
                <w:i w:val="0"/>
                <w:iCs w:val="0"/>
                <w:color w:val="000000"/>
                <w:sz w:val="20"/>
                <w:szCs w:val="20"/>
                <w:u w:val="none"/>
              </w:rPr>
            </w:pP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DD7BB">
            <w:pPr>
              <w:jc w:val="center"/>
              <w:rPr>
                <w:rFonts w:hint="eastAsia" w:ascii="宋体" w:hAnsi="宋体" w:eastAsia="宋体" w:cs="宋体"/>
                <w:i w:val="0"/>
                <w:iCs w:val="0"/>
                <w:color w:val="000000"/>
                <w:sz w:val="20"/>
                <w:szCs w:val="20"/>
                <w:u w:val="none"/>
              </w:rPr>
            </w:pP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1E967">
            <w:pPr>
              <w:jc w:val="center"/>
              <w:rPr>
                <w:rFonts w:hint="eastAsia" w:ascii="宋体" w:hAnsi="宋体" w:eastAsia="宋体" w:cs="宋体"/>
                <w:i w:val="0"/>
                <w:iCs w:val="0"/>
                <w:color w:val="000000"/>
                <w:sz w:val="20"/>
                <w:szCs w:val="20"/>
                <w:u w:val="none"/>
              </w:rPr>
            </w:pP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FC9B1">
            <w:pPr>
              <w:jc w:val="center"/>
              <w:rPr>
                <w:rFonts w:hint="eastAsia" w:ascii="宋体" w:hAnsi="宋体" w:eastAsia="宋体" w:cs="宋体"/>
                <w:i w:val="0"/>
                <w:iCs w:val="0"/>
                <w:color w:val="000000"/>
                <w:sz w:val="20"/>
                <w:szCs w:val="20"/>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14C2D">
            <w:pPr>
              <w:jc w:val="center"/>
              <w:rPr>
                <w:rFonts w:hint="eastAsia" w:ascii="宋体" w:hAnsi="宋体" w:eastAsia="宋体" w:cs="宋体"/>
                <w:i w:val="0"/>
                <w:iCs w:val="0"/>
                <w:color w:val="000000"/>
                <w:sz w:val="20"/>
                <w:szCs w:val="20"/>
                <w:u w:val="none"/>
              </w:rPr>
            </w:pP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38C85">
            <w:pPr>
              <w:jc w:val="center"/>
              <w:rPr>
                <w:rFonts w:hint="eastAsia" w:ascii="宋体" w:hAnsi="宋体" w:eastAsia="宋体" w:cs="宋体"/>
                <w:i w:val="0"/>
                <w:iCs w:val="0"/>
                <w:color w:val="000000"/>
                <w:sz w:val="20"/>
                <w:szCs w:val="20"/>
                <w:u w:val="none"/>
              </w:rPr>
            </w:pP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9BDBA">
            <w:pPr>
              <w:jc w:val="center"/>
              <w:rPr>
                <w:rFonts w:hint="eastAsia" w:ascii="宋体" w:hAnsi="宋体" w:eastAsia="宋体" w:cs="宋体"/>
                <w:b/>
                <w:bCs/>
                <w:i w:val="0"/>
                <w:iCs w:val="0"/>
                <w:color w:val="000000"/>
                <w:sz w:val="20"/>
                <w:szCs w:val="20"/>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0BF80">
            <w:pPr>
              <w:jc w:val="center"/>
              <w:rPr>
                <w:rFonts w:hint="eastAsia" w:ascii="宋体" w:hAnsi="宋体" w:eastAsia="宋体" w:cs="宋体"/>
                <w:i w:val="0"/>
                <w:iCs w:val="0"/>
                <w:color w:val="000000"/>
                <w:sz w:val="20"/>
                <w:szCs w:val="20"/>
                <w:u w:val="none"/>
              </w:rPr>
            </w:pPr>
          </w:p>
        </w:tc>
      </w:tr>
      <w:tr w14:paraId="7CAC1551">
        <w:trPr>
          <w:trHeight w:val="293" w:hRule="atLeast"/>
        </w:trPr>
        <w:tc>
          <w:tcPr>
            <w:tcW w:w="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83DB1">
            <w:pPr>
              <w:jc w:val="center"/>
              <w:rPr>
                <w:rFonts w:hint="eastAsia" w:ascii="宋体" w:hAnsi="宋体" w:eastAsia="宋体" w:cs="宋体"/>
                <w:i w:val="0"/>
                <w:iCs w:val="0"/>
                <w:color w:val="000000"/>
                <w:sz w:val="20"/>
                <w:szCs w:val="20"/>
                <w:u w:val="none"/>
              </w:rPr>
            </w:pPr>
          </w:p>
        </w:tc>
        <w:tc>
          <w:tcPr>
            <w:tcW w:w="1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41037">
            <w:pPr>
              <w:jc w:val="center"/>
              <w:rPr>
                <w:rFonts w:hint="eastAsia" w:ascii="宋体" w:hAnsi="宋体" w:eastAsia="宋体" w:cs="宋体"/>
                <w:i w:val="0"/>
                <w:iCs w:val="0"/>
                <w:color w:val="000000"/>
                <w:sz w:val="20"/>
                <w:szCs w:val="20"/>
                <w:u w:val="none"/>
              </w:rPr>
            </w:pPr>
          </w:p>
        </w:tc>
        <w:tc>
          <w:tcPr>
            <w:tcW w:w="17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B2FE6">
            <w:pPr>
              <w:jc w:val="center"/>
              <w:rPr>
                <w:rFonts w:hint="eastAsia" w:ascii="宋体" w:hAnsi="宋体" w:eastAsia="宋体" w:cs="宋体"/>
                <w:i w:val="0"/>
                <w:iCs w:val="0"/>
                <w:color w:val="000000"/>
                <w:sz w:val="20"/>
                <w:szCs w:val="20"/>
                <w:u w:val="none"/>
              </w:rPr>
            </w:pPr>
          </w:p>
        </w:tc>
        <w:tc>
          <w:tcPr>
            <w:tcW w:w="12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0AFC2">
            <w:pPr>
              <w:jc w:val="center"/>
              <w:rPr>
                <w:rFonts w:hint="eastAsia" w:ascii="宋体" w:hAnsi="宋体" w:eastAsia="宋体" w:cs="宋体"/>
                <w:i w:val="0"/>
                <w:iCs w:val="0"/>
                <w:color w:val="000000"/>
                <w:sz w:val="20"/>
                <w:szCs w:val="20"/>
                <w:u w:val="none"/>
              </w:rPr>
            </w:pP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297AE">
            <w:pPr>
              <w:jc w:val="center"/>
              <w:rPr>
                <w:rFonts w:hint="eastAsia" w:ascii="宋体" w:hAnsi="宋体" w:eastAsia="宋体" w:cs="宋体"/>
                <w:i w:val="0"/>
                <w:iCs w:val="0"/>
                <w:color w:val="000000"/>
                <w:sz w:val="20"/>
                <w:szCs w:val="20"/>
                <w:u w:val="none"/>
              </w:rPr>
            </w:pP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55B6A">
            <w:pPr>
              <w:jc w:val="center"/>
              <w:rPr>
                <w:rFonts w:hint="eastAsia" w:ascii="宋体" w:hAnsi="宋体" w:eastAsia="宋体" w:cs="宋体"/>
                <w:i w:val="0"/>
                <w:iCs w:val="0"/>
                <w:color w:val="000000"/>
                <w:sz w:val="20"/>
                <w:szCs w:val="20"/>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36C93">
            <w:pPr>
              <w:jc w:val="center"/>
              <w:rPr>
                <w:rFonts w:hint="eastAsia" w:ascii="宋体" w:hAnsi="宋体" w:eastAsia="宋体" w:cs="宋体"/>
                <w:i w:val="0"/>
                <w:iCs w:val="0"/>
                <w:color w:val="000000"/>
                <w:sz w:val="20"/>
                <w:szCs w:val="20"/>
                <w:u w:val="none"/>
              </w:rPr>
            </w:pP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393D0">
            <w:pPr>
              <w:jc w:val="center"/>
              <w:rPr>
                <w:rFonts w:hint="eastAsia" w:ascii="宋体" w:hAnsi="宋体" w:eastAsia="宋体" w:cs="宋体"/>
                <w:i w:val="0"/>
                <w:iCs w:val="0"/>
                <w:color w:val="000000"/>
                <w:sz w:val="20"/>
                <w:szCs w:val="20"/>
                <w:u w:val="none"/>
              </w:rPr>
            </w:pP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19FB8">
            <w:pPr>
              <w:jc w:val="center"/>
              <w:rPr>
                <w:rFonts w:hint="eastAsia" w:ascii="宋体" w:hAnsi="宋体" w:eastAsia="宋体" w:cs="宋体"/>
                <w:b/>
                <w:bCs/>
                <w:i w:val="0"/>
                <w:iCs w:val="0"/>
                <w:color w:val="000000"/>
                <w:sz w:val="20"/>
                <w:szCs w:val="20"/>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BCA53">
            <w:pPr>
              <w:jc w:val="center"/>
              <w:rPr>
                <w:rFonts w:hint="eastAsia" w:ascii="宋体" w:hAnsi="宋体" w:eastAsia="宋体" w:cs="宋体"/>
                <w:i w:val="0"/>
                <w:iCs w:val="0"/>
                <w:color w:val="000000"/>
                <w:sz w:val="20"/>
                <w:szCs w:val="20"/>
                <w:u w:val="none"/>
              </w:rPr>
            </w:pPr>
          </w:p>
        </w:tc>
      </w:tr>
    </w:tbl>
    <w:p w14:paraId="6D76DCB3">
      <w:pPr>
        <w:keepNext w:val="0"/>
        <w:keepLines w:val="0"/>
        <w:pageBreakBefore w:val="0"/>
        <w:widowControl w:val="0"/>
        <w:kinsoku/>
        <w:wordWrap/>
        <w:topLinePunct w:val="0"/>
        <w:autoSpaceDE/>
        <w:autoSpaceDN/>
        <w:bidi w:val="0"/>
        <w:spacing w:line="560" w:lineRule="exact"/>
        <w:jc w:val="center"/>
        <w:textAlignment w:val="auto"/>
        <w:rPr>
          <w:rFonts w:hint="eastAsia" w:eastAsia="仿宋_GB2312" w:cs="Times New Roman"/>
          <w:sz w:val="32"/>
          <w:szCs w:val="32"/>
          <w:lang w:val="en-US" w:eastAsia="zh-CN"/>
        </w:rPr>
      </w:pPr>
    </w:p>
    <w:p w14:paraId="54C1DBD7">
      <w:pPr>
        <w:rPr>
          <w:rFonts w:hint="eastAsia" w:eastAsia="仿宋_GB2312" w:cs="Times New Roman"/>
          <w:sz w:val="32"/>
          <w:szCs w:val="32"/>
          <w:lang w:val="en-US" w:eastAsia="zh-CN"/>
        </w:rPr>
        <w:sectPr>
          <w:footerReference r:id="rId3" w:type="default"/>
          <w:pgSz w:w="16838" w:h="11906" w:orient="landscape"/>
          <w:pgMar w:top="1587" w:right="2041" w:bottom="1474" w:left="1984" w:header="851" w:footer="992" w:gutter="0"/>
          <w:pgNumType w:fmt="decimal"/>
          <w:cols w:space="720" w:num="1"/>
          <w:docGrid w:type="lines" w:linePitch="312" w:charSpace="0"/>
        </w:sectPr>
      </w:pPr>
    </w:p>
    <w:p w14:paraId="0CD71641">
      <w:pPr>
        <w:rPr>
          <w:rFonts w:hint="eastAsia" w:ascii="Times New Roman" w:hAnsi="Times New Roman" w:eastAsia="黑体"/>
          <w:sz w:val="32"/>
          <w:szCs w:val="32"/>
          <w:lang w:val="en-US" w:eastAsia="zh-CN"/>
        </w:rPr>
      </w:pPr>
      <w:r>
        <w:rPr>
          <w:rFonts w:ascii="Times New Roman" w:hAnsi="黑体" w:eastAsia="黑体"/>
          <w:sz w:val="32"/>
          <w:szCs w:val="32"/>
        </w:rPr>
        <w:t>附件</w:t>
      </w:r>
      <w:r>
        <w:rPr>
          <w:rFonts w:hint="eastAsia" w:ascii="Times New Roman" w:hAnsi="黑体" w:eastAsia="黑体"/>
          <w:sz w:val="32"/>
          <w:szCs w:val="32"/>
          <w:lang w:val="en-US" w:eastAsia="zh-CN"/>
        </w:rPr>
        <w:t>2</w:t>
      </w:r>
    </w:p>
    <w:p w14:paraId="1EEB3EB3">
      <w:pPr>
        <w:jc w:val="center"/>
        <w:rPr>
          <w:rFonts w:ascii="Times New Roman" w:hAnsi="Times New Roman" w:eastAsia="仿宋_GB2312"/>
          <w:sz w:val="32"/>
          <w:szCs w:val="32"/>
        </w:rPr>
      </w:pPr>
      <w:r>
        <w:rPr>
          <w:rFonts w:hint="eastAsia" w:ascii="Times New Roman" w:hAnsi="Times New Roman" w:eastAsia="方正小标宋简体"/>
          <w:sz w:val="44"/>
          <w:szCs w:val="44"/>
        </w:rPr>
        <w:t>相城区发改委</w:t>
      </w:r>
      <w:r>
        <w:rPr>
          <w:rFonts w:ascii="Times New Roman" w:hAnsi="Times New Roman" w:eastAsia="方正小标宋简体"/>
          <w:sz w:val="44"/>
          <w:szCs w:val="44"/>
        </w:rPr>
        <w:t>行政检查事项清单</w:t>
      </w:r>
    </w:p>
    <w:tbl>
      <w:tblPr>
        <w:tblStyle w:val="8"/>
        <w:tblW w:w="150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6"/>
        <w:gridCol w:w="1324"/>
        <w:gridCol w:w="794"/>
        <w:gridCol w:w="872"/>
        <w:gridCol w:w="1010"/>
        <w:gridCol w:w="4922"/>
        <w:gridCol w:w="926"/>
        <w:gridCol w:w="1104"/>
        <w:gridCol w:w="1296"/>
        <w:gridCol w:w="1282"/>
        <w:gridCol w:w="1016"/>
      </w:tblGrid>
      <w:tr w14:paraId="723776DC">
        <w:trPr>
          <w:trHeight w:val="441" w:hRule="atLeast"/>
          <w:jc w:val="center"/>
        </w:trPr>
        <w:tc>
          <w:tcPr>
            <w:tcW w:w="536" w:type="dxa"/>
            <w:vMerge w:val="restart"/>
            <w:noWrap w:val="0"/>
            <w:vAlign w:val="center"/>
          </w:tcPr>
          <w:p w14:paraId="18A33C81">
            <w:pPr>
              <w:jc w:val="center"/>
              <w:rPr>
                <w:rFonts w:ascii="Times New Roman" w:hAnsi="Times New Roman" w:eastAsia="黑体"/>
                <w:kern w:val="0"/>
                <w:sz w:val="24"/>
              </w:rPr>
            </w:pPr>
            <w:r>
              <w:rPr>
                <w:rFonts w:ascii="Times New Roman" w:hAnsi="黑体" w:eastAsia="黑体"/>
                <w:kern w:val="0"/>
                <w:sz w:val="24"/>
              </w:rPr>
              <w:t>序号</w:t>
            </w:r>
          </w:p>
        </w:tc>
        <w:tc>
          <w:tcPr>
            <w:tcW w:w="1324" w:type="dxa"/>
            <w:vMerge w:val="restart"/>
            <w:noWrap w:val="0"/>
            <w:vAlign w:val="center"/>
          </w:tcPr>
          <w:p w14:paraId="6FA592BD">
            <w:pPr>
              <w:jc w:val="center"/>
              <w:rPr>
                <w:rFonts w:ascii="Times New Roman" w:hAnsi="Times New Roman" w:eastAsia="黑体"/>
                <w:kern w:val="0"/>
                <w:sz w:val="24"/>
              </w:rPr>
            </w:pPr>
            <w:r>
              <w:rPr>
                <w:rFonts w:ascii="Times New Roman" w:hAnsi="黑体" w:eastAsia="黑体"/>
                <w:kern w:val="0"/>
                <w:sz w:val="24"/>
              </w:rPr>
              <w:t>检查事项</w:t>
            </w:r>
          </w:p>
        </w:tc>
        <w:tc>
          <w:tcPr>
            <w:tcW w:w="794" w:type="dxa"/>
            <w:vMerge w:val="restart"/>
            <w:noWrap w:val="0"/>
            <w:vAlign w:val="center"/>
          </w:tcPr>
          <w:p w14:paraId="06870D8B">
            <w:pPr>
              <w:jc w:val="center"/>
              <w:rPr>
                <w:rFonts w:ascii="Times New Roman" w:hAnsi="Times New Roman" w:eastAsia="黑体"/>
                <w:kern w:val="0"/>
                <w:sz w:val="24"/>
              </w:rPr>
            </w:pPr>
            <w:r>
              <w:rPr>
                <w:rFonts w:ascii="Times New Roman" w:hAnsi="黑体" w:eastAsia="黑体"/>
                <w:kern w:val="0"/>
                <w:sz w:val="24"/>
              </w:rPr>
              <w:t>检查主体</w:t>
            </w:r>
          </w:p>
        </w:tc>
        <w:tc>
          <w:tcPr>
            <w:tcW w:w="872" w:type="dxa"/>
            <w:vMerge w:val="restart"/>
            <w:noWrap w:val="0"/>
            <w:vAlign w:val="center"/>
          </w:tcPr>
          <w:p w14:paraId="564C345C">
            <w:pPr>
              <w:jc w:val="center"/>
              <w:rPr>
                <w:rFonts w:ascii="Times New Roman" w:hAnsi="Times New Roman" w:eastAsia="黑体"/>
                <w:kern w:val="0"/>
                <w:sz w:val="24"/>
              </w:rPr>
            </w:pPr>
            <w:r>
              <w:rPr>
                <w:rFonts w:ascii="Times New Roman" w:hAnsi="黑体" w:eastAsia="黑体"/>
                <w:kern w:val="0"/>
                <w:sz w:val="24"/>
              </w:rPr>
              <w:t>检查机构</w:t>
            </w:r>
          </w:p>
        </w:tc>
        <w:tc>
          <w:tcPr>
            <w:tcW w:w="1010" w:type="dxa"/>
            <w:vMerge w:val="restart"/>
            <w:noWrap w:val="0"/>
            <w:vAlign w:val="center"/>
          </w:tcPr>
          <w:p w14:paraId="17282CCE">
            <w:pPr>
              <w:jc w:val="center"/>
              <w:rPr>
                <w:rFonts w:ascii="Times New Roman" w:hAnsi="Times New Roman" w:eastAsia="黑体"/>
                <w:kern w:val="0"/>
                <w:sz w:val="24"/>
              </w:rPr>
            </w:pPr>
            <w:r>
              <w:rPr>
                <w:rFonts w:ascii="Times New Roman" w:hAnsi="黑体" w:eastAsia="黑体"/>
                <w:kern w:val="0"/>
                <w:sz w:val="24"/>
              </w:rPr>
              <w:t>检查对象</w:t>
            </w:r>
          </w:p>
        </w:tc>
        <w:tc>
          <w:tcPr>
            <w:tcW w:w="4922" w:type="dxa"/>
            <w:vMerge w:val="restart"/>
            <w:noWrap w:val="0"/>
            <w:vAlign w:val="center"/>
          </w:tcPr>
          <w:p w14:paraId="2FBAFF78">
            <w:pPr>
              <w:jc w:val="center"/>
              <w:rPr>
                <w:rFonts w:ascii="Times New Roman" w:hAnsi="Times New Roman" w:eastAsia="黑体"/>
                <w:kern w:val="0"/>
                <w:sz w:val="24"/>
              </w:rPr>
            </w:pPr>
            <w:r>
              <w:rPr>
                <w:rFonts w:ascii="Times New Roman" w:hAnsi="Times New Roman" w:eastAsia="黑体"/>
                <w:kern w:val="0"/>
                <w:sz w:val="24"/>
              </w:rPr>
              <w:t>检查依据</w:t>
            </w:r>
          </w:p>
        </w:tc>
        <w:tc>
          <w:tcPr>
            <w:tcW w:w="926" w:type="dxa"/>
            <w:vMerge w:val="restart"/>
            <w:noWrap w:val="0"/>
            <w:vAlign w:val="center"/>
          </w:tcPr>
          <w:p w14:paraId="1091FCC5">
            <w:pPr>
              <w:jc w:val="center"/>
              <w:rPr>
                <w:rFonts w:ascii="Times New Roman" w:hAnsi="Times New Roman" w:eastAsia="黑体"/>
                <w:kern w:val="0"/>
                <w:sz w:val="24"/>
              </w:rPr>
            </w:pPr>
            <w:r>
              <w:rPr>
                <w:rFonts w:ascii="Times New Roman" w:hAnsi="黑体" w:eastAsia="黑体"/>
                <w:kern w:val="0"/>
                <w:sz w:val="24"/>
              </w:rPr>
              <w:t>检查方式</w:t>
            </w:r>
          </w:p>
        </w:tc>
        <w:tc>
          <w:tcPr>
            <w:tcW w:w="1104" w:type="dxa"/>
            <w:vMerge w:val="restart"/>
            <w:noWrap w:val="0"/>
            <w:vAlign w:val="center"/>
          </w:tcPr>
          <w:p w14:paraId="7788A3DE">
            <w:pPr>
              <w:jc w:val="center"/>
              <w:rPr>
                <w:rFonts w:ascii="Times New Roman" w:hAnsi="Times New Roman" w:eastAsia="黑体"/>
                <w:kern w:val="0"/>
                <w:sz w:val="24"/>
              </w:rPr>
            </w:pPr>
            <w:r>
              <w:rPr>
                <w:rFonts w:ascii="Times New Roman" w:hAnsi="黑体" w:eastAsia="黑体"/>
                <w:kern w:val="0"/>
                <w:sz w:val="24"/>
              </w:rPr>
              <w:t>检查频次（时间）</w:t>
            </w:r>
          </w:p>
        </w:tc>
        <w:tc>
          <w:tcPr>
            <w:tcW w:w="2578" w:type="dxa"/>
            <w:gridSpan w:val="2"/>
            <w:noWrap w:val="0"/>
            <w:vAlign w:val="center"/>
          </w:tcPr>
          <w:p w14:paraId="5BB867ED">
            <w:pPr>
              <w:jc w:val="center"/>
              <w:rPr>
                <w:rFonts w:ascii="Times New Roman" w:hAnsi="Times New Roman" w:eastAsia="黑体"/>
                <w:kern w:val="0"/>
                <w:sz w:val="24"/>
              </w:rPr>
            </w:pPr>
            <w:r>
              <w:rPr>
                <w:rFonts w:ascii="Times New Roman" w:hAnsi="黑体" w:eastAsia="黑体"/>
                <w:kern w:val="0"/>
                <w:sz w:val="24"/>
              </w:rPr>
              <w:t>对应的行政权力事项</w:t>
            </w:r>
          </w:p>
        </w:tc>
        <w:tc>
          <w:tcPr>
            <w:tcW w:w="1016" w:type="dxa"/>
            <w:vMerge w:val="restart"/>
            <w:noWrap w:val="0"/>
            <w:vAlign w:val="center"/>
          </w:tcPr>
          <w:p w14:paraId="5E396FBC">
            <w:pPr>
              <w:jc w:val="center"/>
              <w:rPr>
                <w:rFonts w:ascii="Times New Roman" w:hAnsi="Times New Roman" w:eastAsia="黑体"/>
                <w:kern w:val="0"/>
                <w:sz w:val="24"/>
              </w:rPr>
            </w:pPr>
            <w:r>
              <w:rPr>
                <w:rFonts w:ascii="Times New Roman" w:hAnsi="黑体" w:eastAsia="黑体"/>
                <w:kern w:val="0"/>
                <w:sz w:val="24"/>
              </w:rPr>
              <w:t>备注</w:t>
            </w:r>
          </w:p>
        </w:tc>
      </w:tr>
      <w:tr w14:paraId="710132D1">
        <w:trPr>
          <w:trHeight w:val="193" w:hRule="atLeast"/>
          <w:jc w:val="center"/>
        </w:trPr>
        <w:tc>
          <w:tcPr>
            <w:tcW w:w="536" w:type="dxa"/>
            <w:vMerge w:val="continue"/>
            <w:noWrap w:val="0"/>
            <w:vAlign w:val="center"/>
          </w:tcPr>
          <w:p w14:paraId="11F6B91E">
            <w:pPr>
              <w:jc w:val="center"/>
              <w:rPr>
                <w:rFonts w:ascii="Times New Roman" w:hAnsi="Times New Roman" w:eastAsia="黑体"/>
                <w:kern w:val="0"/>
                <w:sz w:val="24"/>
              </w:rPr>
            </w:pPr>
          </w:p>
        </w:tc>
        <w:tc>
          <w:tcPr>
            <w:tcW w:w="1324" w:type="dxa"/>
            <w:vMerge w:val="continue"/>
            <w:noWrap w:val="0"/>
            <w:vAlign w:val="center"/>
          </w:tcPr>
          <w:p w14:paraId="610541C6">
            <w:pPr>
              <w:jc w:val="center"/>
              <w:rPr>
                <w:rFonts w:ascii="Times New Roman" w:hAnsi="Times New Roman" w:eastAsia="黑体"/>
                <w:kern w:val="0"/>
                <w:sz w:val="24"/>
              </w:rPr>
            </w:pPr>
          </w:p>
        </w:tc>
        <w:tc>
          <w:tcPr>
            <w:tcW w:w="794" w:type="dxa"/>
            <w:vMerge w:val="continue"/>
            <w:noWrap w:val="0"/>
            <w:vAlign w:val="center"/>
          </w:tcPr>
          <w:p w14:paraId="32DF3A36">
            <w:pPr>
              <w:jc w:val="center"/>
              <w:rPr>
                <w:rFonts w:ascii="Times New Roman" w:hAnsi="Times New Roman" w:eastAsia="黑体"/>
                <w:kern w:val="0"/>
                <w:sz w:val="24"/>
              </w:rPr>
            </w:pPr>
          </w:p>
        </w:tc>
        <w:tc>
          <w:tcPr>
            <w:tcW w:w="872" w:type="dxa"/>
            <w:vMerge w:val="continue"/>
            <w:noWrap w:val="0"/>
            <w:vAlign w:val="center"/>
          </w:tcPr>
          <w:p w14:paraId="21BD2B4F">
            <w:pPr>
              <w:jc w:val="center"/>
              <w:rPr>
                <w:rFonts w:ascii="Times New Roman" w:hAnsi="Times New Roman" w:eastAsia="黑体"/>
                <w:kern w:val="0"/>
                <w:sz w:val="24"/>
              </w:rPr>
            </w:pPr>
          </w:p>
        </w:tc>
        <w:tc>
          <w:tcPr>
            <w:tcW w:w="1010" w:type="dxa"/>
            <w:vMerge w:val="continue"/>
            <w:noWrap w:val="0"/>
            <w:vAlign w:val="center"/>
          </w:tcPr>
          <w:p w14:paraId="2BD2DCC3">
            <w:pPr>
              <w:jc w:val="center"/>
              <w:rPr>
                <w:rFonts w:ascii="Times New Roman" w:hAnsi="Times New Roman" w:eastAsia="黑体"/>
                <w:kern w:val="0"/>
                <w:sz w:val="24"/>
              </w:rPr>
            </w:pPr>
          </w:p>
        </w:tc>
        <w:tc>
          <w:tcPr>
            <w:tcW w:w="4922" w:type="dxa"/>
            <w:vMerge w:val="continue"/>
            <w:noWrap w:val="0"/>
            <w:vAlign w:val="center"/>
          </w:tcPr>
          <w:p w14:paraId="7357D2FB">
            <w:pPr>
              <w:jc w:val="center"/>
              <w:rPr>
                <w:rFonts w:ascii="Times New Roman" w:hAnsi="Times New Roman" w:eastAsia="黑体"/>
                <w:kern w:val="0"/>
                <w:sz w:val="24"/>
              </w:rPr>
            </w:pPr>
          </w:p>
        </w:tc>
        <w:tc>
          <w:tcPr>
            <w:tcW w:w="926" w:type="dxa"/>
            <w:vMerge w:val="continue"/>
            <w:noWrap w:val="0"/>
            <w:vAlign w:val="center"/>
          </w:tcPr>
          <w:p w14:paraId="0593284C">
            <w:pPr>
              <w:jc w:val="center"/>
              <w:rPr>
                <w:rFonts w:ascii="Times New Roman" w:hAnsi="Times New Roman" w:eastAsia="黑体"/>
                <w:kern w:val="0"/>
                <w:sz w:val="24"/>
              </w:rPr>
            </w:pPr>
          </w:p>
        </w:tc>
        <w:tc>
          <w:tcPr>
            <w:tcW w:w="1104" w:type="dxa"/>
            <w:vMerge w:val="continue"/>
            <w:noWrap w:val="0"/>
            <w:vAlign w:val="center"/>
          </w:tcPr>
          <w:p w14:paraId="3CF2DFD9">
            <w:pPr>
              <w:jc w:val="center"/>
              <w:rPr>
                <w:rFonts w:ascii="Times New Roman" w:hAnsi="Times New Roman" w:eastAsia="黑体"/>
                <w:kern w:val="0"/>
                <w:sz w:val="24"/>
              </w:rPr>
            </w:pPr>
          </w:p>
        </w:tc>
        <w:tc>
          <w:tcPr>
            <w:tcW w:w="1296" w:type="dxa"/>
            <w:noWrap w:val="0"/>
            <w:vAlign w:val="center"/>
          </w:tcPr>
          <w:p w14:paraId="55F2590E">
            <w:pPr>
              <w:jc w:val="center"/>
              <w:rPr>
                <w:rFonts w:ascii="Times New Roman" w:hAnsi="Times New Roman" w:eastAsia="黑体"/>
                <w:kern w:val="0"/>
                <w:sz w:val="24"/>
              </w:rPr>
            </w:pPr>
            <w:r>
              <w:rPr>
                <w:rFonts w:ascii="Times New Roman" w:hAnsi="黑体" w:eastAsia="黑体"/>
                <w:kern w:val="0"/>
                <w:sz w:val="24"/>
              </w:rPr>
              <w:t>权力编码</w:t>
            </w:r>
          </w:p>
        </w:tc>
        <w:tc>
          <w:tcPr>
            <w:tcW w:w="1282" w:type="dxa"/>
            <w:noWrap w:val="0"/>
            <w:vAlign w:val="center"/>
          </w:tcPr>
          <w:p w14:paraId="2409B805">
            <w:pPr>
              <w:jc w:val="center"/>
              <w:rPr>
                <w:rFonts w:ascii="Times New Roman" w:hAnsi="Times New Roman" w:eastAsia="黑体"/>
                <w:kern w:val="0"/>
                <w:sz w:val="24"/>
              </w:rPr>
            </w:pPr>
            <w:r>
              <w:rPr>
                <w:rFonts w:ascii="Times New Roman" w:hAnsi="黑体" w:eastAsia="黑体"/>
                <w:kern w:val="0"/>
                <w:sz w:val="24"/>
              </w:rPr>
              <w:t>权力名称</w:t>
            </w:r>
          </w:p>
        </w:tc>
        <w:tc>
          <w:tcPr>
            <w:tcW w:w="1016" w:type="dxa"/>
            <w:vMerge w:val="continue"/>
            <w:noWrap w:val="0"/>
            <w:vAlign w:val="center"/>
          </w:tcPr>
          <w:p w14:paraId="1499DF38">
            <w:pPr>
              <w:jc w:val="center"/>
              <w:rPr>
                <w:rFonts w:ascii="Times New Roman" w:hAnsi="Times New Roman" w:eastAsia="黑体"/>
                <w:kern w:val="0"/>
                <w:sz w:val="24"/>
              </w:rPr>
            </w:pPr>
          </w:p>
        </w:tc>
      </w:tr>
      <w:tr w14:paraId="20C479C6">
        <w:trPr>
          <w:trHeight w:val="1627" w:hRule="atLeast"/>
          <w:jc w:val="center"/>
        </w:trPr>
        <w:tc>
          <w:tcPr>
            <w:tcW w:w="536" w:type="dxa"/>
            <w:vMerge w:val="restart"/>
            <w:noWrap w:val="0"/>
            <w:vAlign w:val="center"/>
          </w:tcPr>
          <w:p w14:paraId="223C4AA0">
            <w:pPr>
              <w:jc w:val="center"/>
              <w:rPr>
                <w:rFonts w:ascii="Times New Roman" w:hAnsi="Times New Roman"/>
                <w:kern w:val="0"/>
                <w:sz w:val="18"/>
                <w:szCs w:val="18"/>
              </w:rPr>
            </w:pPr>
            <w:r>
              <w:rPr>
                <w:rFonts w:ascii="Times New Roman" w:hAnsi="Times New Roman"/>
                <w:kern w:val="0"/>
                <w:sz w:val="18"/>
                <w:szCs w:val="18"/>
              </w:rPr>
              <w:t>1</w:t>
            </w:r>
          </w:p>
        </w:tc>
        <w:tc>
          <w:tcPr>
            <w:tcW w:w="1324" w:type="dxa"/>
            <w:vMerge w:val="restart"/>
            <w:noWrap w:val="0"/>
            <w:vAlign w:val="center"/>
          </w:tcPr>
          <w:p w14:paraId="5ED05954">
            <w:pPr>
              <w:overflowPunct w:val="0"/>
              <w:autoSpaceDE w:val="0"/>
              <w:autoSpaceDN w:val="0"/>
              <w:rPr>
                <w:rFonts w:ascii="Times New Roman" w:hAnsi="Times New Roman"/>
                <w:kern w:val="0"/>
                <w:sz w:val="18"/>
                <w:szCs w:val="18"/>
              </w:rPr>
            </w:pPr>
            <w:r>
              <w:rPr>
                <w:rFonts w:hint="eastAsia" w:ascii="Times New Roman" w:hAnsi="宋体"/>
                <w:kern w:val="0"/>
                <w:sz w:val="18"/>
                <w:szCs w:val="18"/>
                <w:lang w:val="en-US" w:eastAsia="zh-CN"/>
              </w:rPr>
              <w:t>对粮食收购行为的检查</w:t>
            </w:r>
          </w:p>
        </w:tc>
        <w:tc>
          <w:tcPr>
            <w:tcW w:w="794" w:type="dxa"/>
            <w:vMerge w:val="restart"/>
            <w:noWrap w:val="0"/>
            <w:vAlign w:val="center"/>
          </w:tcPr>
          <w:p w14:paraId="69112C29">
            <w:pPr>
              <w:overflowPunct w:val="0"/>
              <w:autoSpaceDE w:val="0"/>
              <w:autoSpaceDN w:val="0"/>
              <w:rPr>
                <w:rFonts w:ascii="Times New Roman" w:hAnsi="Times New Roman"/>
                <w:kern w:val="0"/>
                <w:sz w:val="18"/>
                <w:szCs w:val="18"/>
              </w:rPr>
            </w:pPr>
            <w:r>
              <w:rPr>
                <w:rFonts w:hint="eastAsia" w:hAnsi="宋体"/>
                <w:kern w:val="0"/>
                <w:sz w:val="18"/>
                <w:szCs w:val="18"/>
                <w:lang w:val="en-US" w:eastAsia="zh-CN"/>
              </w:rPr>
              <w:t>相城区发展和改革委员会</w:t>
            </w:r>
          </w:p>
        </w:tc>
        <w:tc>
          <w:tcPr>
            <w:tcW w:w="872" w:type="dxa"/>
            <w:vMerge w:val="restart"/>
            <w:shd w:val="clear" w:color="auto" w:fill="auto"/>
            <w:noWrap w:val="0"/>
            <w:vAlign w:val="center"/>
          </w:tcPr>
          <w:p w14:paraId="25F88948">
            <w:pPr>
              <w:overflowPunct w:val="0"/>
              <w:autoSpaceDE w:val="0"/>
              <w:autoSpaceDN w:val="0"/>
              <w:rPr>
                <w:rFonts w:ascii="Times New Roman" w:hAnsi="Times New Roman" w:eastAsia="宋体" w:cs="Times New Roman"/>
                <w:kern w:val="0"/>
                <w:sz w:val="18"/>
                <w:szCs w:val="18"/>
                <w:lang w:val="en-US" w:eastAsia="zh-CN" w:bidi="ar-SA"/>
              </w:rPr>
            </w:pPr>
            <w:r>
              <w:rPr>
                <w:rFonts w:hint="eastAsia" w:ascii="Times New Roman" w:hAnsi="宋体"/>
                <w:kern w:val="0"/>
                <w:sz w:val="18"/>
                <w:szCs w:val="18"/>
                <w:lang w:val="en-US" w:eastAsia="zh-CN"/>
              </w:rPr>
              <w:t>粮食和物资储备科</w:t>
            </w:r>
          </w:p>
        </w:tc>
        <w:tc>
          <w:tcPr>
            <w:tcW w:w="1010" w:type="dxa"/>
            <w:vMerge w:val="restart"/>
            <w:noWrap w:val="0"/>
            <w:vAlign w:val="center"/>
          </w:tcPr>
          <w:p w14:paraId="6B799AAF">
            <w:pPr>
              <w:overflowPunct w:val="0"/>
              <w:autoSpaceDE w:val="0"/>
              <w:autoSpaceDN w:val="0"/>
              <w:spacing w:line="320" w:lineRule="exact"/>
              <w:rPr>
                <w:rFonts w:ascii="Times New Roman" w:hAnsi="Times New Roman"/>
                <w:kern w:val="0"/>
                <w:sz w:val="18"/>
                <w:szCs w:val="18"/>
              </w:rPr>
            </w:pPr>
            <w:r>
              <w:rPr>
                <w:rFonts w:hint="eastAsia" w:ascii="Times New Roman" w:hAnsi="宋体"/>
                <w:kern w:val="0"/>
                <w:sz w:val="18"/>
                <w:szCs w:val="18"/>
                <w:lang w:val="en-US" w:eastAsia="zh-CN"/>
              </w:rPr>
              <w:t>粮食收购企业</w:t>
            </w:r>
          </w:p>
        </w:tc>
        <w:tc>
          <w:tcPr>
            <w:tcW w:w="4922" w:type="dxa"/>
            <w:vMerge w:val="restart"/>
            <w:noWrap w:val="0"/>
            <w:vAlign w:val="center"/>
          </w:tcPr>
          <w:p w14:paraId="7CE984D2">
            <w:pPr>
              <w:ind w:firstLine="360" w:firstLineChars="200"/>
              <w:jc w:val="left"/>
              <w:rPr>
                <w:kern w:val="0"/>
                <w:sz w:val="18"/>
                <w:szCs w:val="18"/>
              </w:rPr>
            </w:pPr>
            <w:r>
              <w:rPr>
                <w:rFonts w:hint="eastAsia"/>
                <w:kern w:val="0"/>
                <w:sz w:val="18"/>
                <w:szCs w:val="18"/>
              </w:rPr>
              <w:t>《粮食流通管理条例》</w:t>
            </w:r>
          </w:p>
          <w:p w14:paraId="3DF52365">
            <w:pPr>
              <w:ind w:firstLine="360" w:firstLineChars="200"/>
              <w:jc w:val="left"/>
              <w:rPr>
                <w:rFonts w:hint="eastAsia"/>
                <w:kern w:val="0"/>
                <w:sz w:val="18"/>
                <w:szCs w:val="18"/>
              </w:rPr>
            </w:pPr>
            <w:r>
              <w:rPr>
                <w:rFonts w:hint="eastAsia"/>
                <w:kern w:val="0"/>
                <w:sz w:val="18"/>
                <w:szCs w:val="18"/>
              </w:rPr>
              <w:t>第四十三条 粮食收购企业未按照规定备案或者提供虚假备案信息的，由粮食和储备行政管理部门责令改正，给予警告；拒不改正的，处2万元以上5万元以下罚款。</w:t>
            </w:r>
          </w:p>
          <w:p w14:paraId="7A620B2A">
            <w:pPr>
              <w:ind w:firstLine="360" w:firstLineChars="200"/>
              <w:rPr>
                <w:rFonts w:hint="eastAsia"/>
                <w:kern w:val="0"/>
                <w:sz w:val="18"/>
                <w:szCs w:val="18"/>
              </w:rPr>
            </w:pPr>
            <w:r>
              <w:rPr>
                <w:rFonts w:hint="eastAsia"/>
                <w:kern w:val="0"/>
                <w:sz w:val="18"/>
                <w:szCs w:val="18"/>
              </w:rPr>
              <w:t>第四十五条 有下列情形之一的，由粮食和储备行政管理部门责令改正，给予警告，可以并处20万元以下罚款；情节严重的，并处20万元以上50万元以下罚款：</w:t>
            </w:r>
          </w:p>
          <w:p w14:paraId="77ACDFBA">
            <w:pPr>
              <w:numPr>
                <w:ilvl w:val="0"/>
                <w:numId w:val="1"/>
              </w:numPr>
              <w:ind w:left="357" w:leftChars="170"/>
              <w:jc w:val="left"/>
              <w:rPr>
                <w:rFonts w:hint="eastAsia"/>
                <w:kern w:val="0"/>
                <w:sz w:val="18"/>
                <w:szCs w:val="18"/>
              </w:rPr>
            </w:pPr>
            <w:r>
              <w:rPr>
                <w:rFonts w:hint="eastAsia"/>
                <w:kern w:val="0"/>
                <w:sz w:val="18"/>
                <w:szCs w:val="18"/>
              </w:rPr>
              <w:t>粮食收购者未执行国家粮食质量标准；</w:t>
            </w:r>
          </w:p>
          <w:p w14:paraId="57C0F4A8">
            <w:pPr>
              <w:ind w:left="357" w:leftChars="170"/>
              <w:jc w:val="left"/>
              <w:rPr>
                <w:rFonts w:hint="eastAsia"/>
                <w:kern w:val="0"/>
                <w:sz w:val="18"/>
                <w:szCs w:val="18"/>
              </w:rPr>
            </w:pPr>
            <w:r>
              <w:rPr>
                <w:rFonts w:hint="eastAsia"/>
                <w:kern w:val="0"/>
                <w:sz w:val="18"/>
                <w:szCs w:val="18"/>
              </w:rPr>
              <w:t>（二）粮食收购者未及时向售粮者支付售粮款；</w:t>
            </w:r>
          </w:p>
          <w:p w14:paraId="201CE388">
            <w:pPr>
              <w:ind w:firstLine="360" w:firstLineChars="200"/>
              <w:jc w:val="left"/>
              <w:rPr>
                <w:rFonts w:hint="eastAsia"/>
                <w:kern w:val="0"/>
                <w:sz w:val="18"/>
                <w:szCs w:val="18"/>
              </w:rPr>
            </w:pPr>
            <w:r>
              <w:rPr>
                <w:rFonts w:hint="eastAsia"/>
                <w:kern w:val="0"/>
                <w:sz w:val="18"/>
                <w:szCs w:val="18"/>
              </w:rPr>
              <w:t>（三）粮食收购者违反本条例规定代扣、代缴税、费和其他款项；</w:t>
            </w:r>
          </w:p>
          <w:p w14:paraId="5D2EFA5A">
            <w:pPr>
              <w:ind w:firstLine="360" w:firstLineChars="200"/>
              <w:jc w:val="left"/>
              <w:rPr>
                <w:kern w:val="0"/>
                <w:sz w:val="18"/>
                <w:szCs w:val="18"/>
              </w:rPr>
            </w:pPr>
            <w:r>
              <w:rPr>
                <w:rFonts w:hint="eastAsia"/>
                <w:kern w:val="0"/>
                <w:sz w:val="18"/>
                <w:szCs w:val="18"/>
              </w:rPr>
              <w:t>（四）粮食收购者收购粮食，未按照国家有关规定进行质量安全检验，或者对不符合食品安全标准的粮食未作为非食用用途单独储存；……</w:t>
            </w:r>
          </w:p>
          <w:p w14:paraId="03E0388D">
            <w:pPr>
              <w:numPr>
                <w:ilvl w:val="0"/>
                <w:numId w:val="0"/>
              </w:numPr>
              <w:jc w:val="left"/>
              <w:rPr>
                <w:rFonts w:hint="eastAsia"/>
                <w:kern w:val="0"/>
                <w:sz w:val="18"/>
                <w:szCs w:val="18"/>
              </w:rPr>
            </w:pPr>
            <w:r>
              <w:rPr>
                <w:rFonts w:hint="eastAsia"/>
                <w:kern w:val="0"/>
                <w:sz w:val="18"/>
                <w:szCs w:val="18"/>
              </w:rPr>
              <w:t>第四十六条 粮食收购者、粮食储存企业未按照本条例规定使用仓储设施、运输工具的，由粮食和储备行政管理等部门按照职责责令改正，给予警告；……</w:t>
            </w:r>
          </w:p>
          <w:p w14:paraId="7E3DC869">
            <w:pPr>
              <w:ind w:firstLine="360" w:firstLineChars="200"/>
              <w:rPr>
                <w:rFonts w:ascii="Times New Roman" w:hAnsi="Times New Roman"/>
                <w:kern w:val="0"/>
                <w:sz w:val="18"/>
                <w:szCs w:val="18"/>
              </w:rPr>
            </w:pPr>
            <w:r>
              <w:rPr>
                <w:rFonts w:hint="eastAsia" w:ascii="Times New Roman" w:hAnsi="Times New Roman"/>
                <w:kern w:val="0"/>
                <w:sz w:val="18"/>
                <w:szCs w:val="18"/>
              </w:rPr>
              <w:t>第五十一条 从事粮食经营活动的企业有违反本条例规定的违法情形且情节严重的，对其法定代表人、主要负责人、直接负责的主管人员和其他直接责任人员处以其上一年度从本企业取得收入的1倍以上10倍以下罚款。</w:t>
            </w:r>
          </w:p>
        </w:tc>
        <w:tc>
          <w:tcPr>
            <w:tcW w:w="926" w:type="dxa"/>
            <w:vMerge w:val="restart"/>
            <w:noWrap w:val="0"/>
            <w:vAlign w:val="center"/>
          </w:tcPr>
          <w:p w14:paraId="45048963">
            <w:pPr>
              <w:rPr>
                <w:rFonts w:ascii="Times New Roman" w:hAnsi="Times New Roman"/>
                <w:kern w:val="0"/>
                <w:sz w:val="18"/>
                <w:szCs w:val="18"/>
              </w:rPr>
            </w:pPr>
            <w:r>
              <w:rPr>
                <w:rFonts w:ascii="Times New Roman" w:hAnsi="宋体"/>
                <w:bCs/>
                <w:kern w:val="0"/>
                <w:sz w:val="18"/>
                <w:szCs w:val="18"/>
              </w:rPr>
              <w:t>现场检查</w:t>
            </w:r>
          </w:p>
        </w:tc>
        <w:tc>
          <w:tcPr>
            <w:tcW w:w="1104" w:type="dxa"/>
            <w:vMerge w:val="restart"/>
            <w:noWrap w:val="0"/>
            <w:vAlign w:val="center"/>
          </w:tcPr>
          <w:p w14:paraId="19C79E19">
            <w:pPr>
              <w:rPr>
                <w:rFonts w:ascii="Times New Roman" w:hAnsi="Times New Roman"/>
                <w:b/>
                <w:kern w:val="0"/>
                <w:sz w:val="18"/>
                <w:szCs w:val="18"/>
              </w:rPr>
            </w:pPr>
            <w:r>
              <w:rPr>
                <w:rFonts w:hint="eastAsia"/>
                <w:bCs/>
                <w:kern w:val="0"/>
                <w:sz w:val="18"/>
                <w:szCs w:val="18"/>
                <w:lang w:val="en-US" w:eastAsia="zh-CN"/>
              </w:rPr>
              <w:t>2</w:t>
            </w:r>
            <w:r>
              <w:rPr>
                <w:rFonts w:ascii="Times New Roman" w:hAnsi="宋体"/>
                <w:bCs/>
                <w:kern w:val="0"/>
                <w:sz w:val="18"/>
                <w:szCs w:val="18"/>
              </w:rPr>
              <w:t>次</w:t>
            </w:r>
            <w:r>
              <w:rPr>
                <w:rFonts w:ascii="Times New Roman" w:hAnsi="Times New Roman"/>
                <w:bCs/>
                <w:kern w:val="0"/>
                <w:sz w:val="18"/>
                <w:szCs w:val="18"/>
              </w:rPr>
              <w:t>/</w:t>
            </w:r>
            <w:r>
              <w:rPr>
                <w:rFonts w:ascii="Times New Roman" w:hAnsi="宋体"/>
                <w:bCs/>
                <w:kern w:val="0"/>
                <w:sz w:val="18"/>
                <w:szCs w:val="18"/>
              </w:rPr>
              <w:t>年</w:t>
            </w:r>
          </w:p>
        </w:tc>
        <w:tc>
          <w:tcPr>
            <w:tcW w:w="1296" w:type="dxa"/>
            <w:noWrap w:val="0"/>
            <w:vAlign w:val="top"/>
          </w:tcPr>
          <w:p w14:paraId="6D92D50D">
            <w:pPr>
              <w:jc w:val="both"/>
              <w:rPr>
                <w:rFonts w:hint="eastAsia"/>
                <w:kern w:val="0"/>
                <w:sz w:val="18"/>
                <w:szCs w:val="18"/>
              </w:rPr>
            </w:pPr>
            <w:r>
              <w:rPr>
                <w:rFonts w:hint="eastAsia"/>
                <w:kern w:val="0"/>
                <w:sz w:val="18"/>
                <w:szCs w:val="18"/>
              </w:rPr>
              <w:t>320259013000</w:t>
            </w:r>
          </w:p>
        </w:tc>
        <w:tc>
          <w:tcPr>
            <w:tcW w:w="1282" w:type="dxa"/>
            <w:noWrap w:val="0"/>
            <w:tcMar>
              <w:top w:w="0" w:type="dxa"/>
              <w:left w:w="108" w:type="dxa"/>
              <w:bottom w:w="0" w:type="dxa"/>
              <w:right w:w="108" w:type="dxa"/>
            </w:tcMar>
            <w:vAlign w:val="center"/>
          </w:tcPr>
          <w:p w14:paraId="731DF5F1">
            <w:pPr>
              <w:jc w:val="both"/>
              <w:rPr>
                <w:rFonts w:hint="eastAsia"/>
                <w:kern w:val="0"/>
                <w:sz w:val="18"/>
                <w:szCs w:val="18"/>
              </w:rPr>
            </w:pPr>
            <w:r>
              <w:rPr>
                <w:rFonts w:hint="eastAsia"/>
                <w:kern w:val="0"/>
                <w:sz w:val="18"/>
                <w:szCs w:val="18"/>
              </w:rPr>
              <w:t>对粮食收购者违反规定代扣、代缴税、费和其他款项的处罚</w:t>
            </w:r>
          </w:p>
        </w:tc>
        <w:tc>
          <w:tcPr>
            <w:tcW w:w="1016" w:type="dxa"/>
            <w:vMerge w:val="restart"/>
            <w:noWrap w:val="0"/>
            <w:vAlign w:val="center"/>
          </w:tcPr>
          <w:p w14:paraId="2CAA40CC">
            <w:pPr>
              <w:rPr>
                <w:rFonts w:ascii="Times New Roman" w:hAnsi="Times New Roman"/>
                <w:b/>
                <w:kern w:val="0"/>
                <w:sz w:val="18"/>
                <w:szCs w:val="18"/>
              </w:rPr>
            </w:pPr>
            <w:r>
              <w:rPr>
                <w:rFonts w:ascii="Times New Roman" w:hAnsi="宋体"/>
                <w:b/>
                <w:kern w:val="0"/>
                <w:sz w:val="18"/>
                <w:szCs w:val="18"/>
              </w:rPr>
              <w:t>某一检查事项对应多项行政权力的，检查事项可只列一次，对应行政权力事项分别列出，如样表所示</w:t>
            </w:r>
          </w:p>
        </w:tc>
      </w:tr>
      <w:tr w14:paraId="54CEA850">
        <w:trPr>
          <w:trHeight w:val="835" w:hRule="atLeast"/>
          <w:jc w:val="center"/>
        </w:trPr>
        <w:tc>
          <w:tcPr>
            <w:tcW w:w="536" w:type="dxa"/>
            <w:vMerge w:val="continue"/>
            <w:noWrap w:val="0"/>
            <w:vAlign w:val="center"/>
          </w:tcPr>
          <w:p w14:paraId="0DC2B4A9">
            <w:pPr>
              <w:jc w:val="center"/>
              <w:rPr>
                <w:rFonts w:ascii="Times New Roman" w:hAnsi="Times New Roman"/>
                <w:kern w:val="0"/>
                <w:sz w:val="18"/>
                <w:szCs w:val="18"/>
              </w:rPr>
            </w:pPr>
          </w:p>
        </w:tc>
        <w:tc>
          <w:tcPr>
            <w:tcW w:w="1324" w:type="dxa"/>
            <w:vMerge w:val="continue"/>
            <w:noWrap w:val="0"/>
            <w:vAlign w:val="center"/>
          </w:tcPr>
          <w:p w14:paraId="0905939B">
            <w:pPr>
              <w:overflowPunct w:val="0"/>
              <w:autoSpaceDE w:val="0"/>
              <w:autoSpaceDN w:val="0"/>
              <w:ind w:firstLine="360" w:firstLineChars="200"/>
              <w:rPr>
                <w:rFonts w:ascii="Times New Roman" w:hAnsi="Times New Roman"/>
                <w:kern w:val="0"/>
                <w:sz w:val="18"/>
                <w:szCs w:val="18"/>
              </w:rPr>
            </w:pPr>
          </w:p>
        </w:tc>
        <w:tc>
          <w:tcPr>
            <w:tcW w:w="794" w:type="dxa"/>
            <w:vMerge w:val="continue"/>
            <w:noWrap w:val="0"/>
            <w:vAlign w:val="center"/>
          </w:tcPr>
          <w:p w14:paraId="39B05F69">
            <w:pPr>
              <w:overflowPunct w:val="0"/>
              <w:autoSpaceDE w:val="0"/>
              <w:autoSpaceDN w:val="0"/>
              <w:rPr>
                <w:rFonts w:ascii="Times New Roman" w:hAnsi="Times New Roman"/>
                <w:b/>
                <w:kern w:val="0"/>
                <w:sz w:val="18"/>
                <w:szCs w:val="18"/>
              </w:rPr>
            </w:pPr>
          </w:p>
        </w:tc>
        <w:tc>
          <w:tcPr>
            <w:tcW w:w="872" w:type="dxa"/>
            <w:vMerge w:val="continue"/>
            <w:noWrap w:val="0"/>
            <w:vAlign w:val="center"/>
          </w:tcPr>
          <w:p w14:paraId="2CD85C49">
            <w:pPr>
              <w:overflowPunct w:val="0"/>
              <w:autoSpaceDE w:val="0"/>
              <w:autoSpaceDN w:val="0"/>
              <w:rPr>
                <w:rFonts w:ascii="Times New Roman" w:hAnsi="Times New Roman"/>
                <w:b/>
                <w:kern w:val="0"/>
                <w:sz w:val="18"/>
                <w:szCs w:val="18"/>
              </w:rPr>
            </w:pPr>
          </w:p>
        </w:tc>
        <w:tc>
          <w:tcPr>
            <w:tcW w:w="1010" w:type="dxa"/>
            <w:vMerge w:val="continue"/>
            <w:noWrap w:val="0"/>
            <w:vAlign w:val="center"/>
          </w:tcPr>
          <w:p w14:paraId="1BD3DBFD">
            <w:pPr>
              <w:overflowPunct w:val="0"/>
              <w:autoSpaceDE w:val="0"/>
              <w:autoSpaceDN w:val="0"/>
              <w:spacing w:line="320" w:lineRule="exact"/>
              <w:rPr>
                <w:rFonts w:ascii="Times New Roman" w:hAnsi="Times New Roman"/>
                <w:b/>
                <w:kern w:val="0"/>
                <w:sz w:val="18"/>
                <w:szCs w:val="18"/>
              </w:rPr>
            </w:pPr>
          </w:p>
        </w:tc>
        <w:tc>
          <w:tcPr>
            <w:tcW w:w="4922" w:type="dxa"/>
            <w:vMerge w:val="continue"/>
            <w:noWrap w:val="0"/>
            <w:vAlign w:val="center"/>
          </w:tcPr>
          <w:p w14:paraId="5FA09AD3">
            <w:pPr>
              <w:ind w:firstLine="420" w:firstLineChars="200"/>
              <w:rPr>
                <w:rFonts w:ascii="Times New Roman" w:hAnsi="Times New Roman" w:eastAsia="方正仿宋_GBK"/>
                <w:kern w:val="0"/>
                <w:szCs w:val="21"/>
                <w:shd w:val="clear" w:color="auto" w:fill="FFFFFF"/>
              </w:rPr>
            </w:pPr>
          </w:p>
        </w:tc>
        <w:tc>
          <w:tcPr>
            <w:tcW w:w="926" w:type="dxa"/>
            <w:vMerge w:val="continue"/>
            <w:noWrap w:val="0"/>
            <w:vAlign w:val="center"/>
          </w:tcPr>
          <w:p w14:paraId="6EFB6235">
            <w:pPr>
              <w:rPr>
                <w:rFonts w:ascii="Times New Roman" w:hAnsi="Times New Roman"/>
                <w:b/>
                <w:kern w:val="0"/>
                <w:sz w:val="18"/>
                <w:szCs w:val="18"/>
              </w:rPr>
            </w:pPr>
          </w:p>
        </w:tc>
        <w:tc>
          <w:tcPr>
            <w:tcW w:w="1104" w:type="dxa"/>
            <w:vMerge w:val="continue"/>
            <w:noWrap w:val="0"/>
            <w:vAlign w:val="center"/>
          </w:tcPr>
          <w:p w14:paraId="1335279D">
            <w:pPr>
              <w:rPr>
                <w:rFonts w:ascii="Times New Roman" w:hAnsi="Times New Roman"/>
                <w:bCs/>
                <w:kern w:val="0"/>
                <w:sz w:val="18"/>
                <w:szCs w:val="18"/>
              </w:rPr>
            </w:pPr>
          </w:p>
        </w:tc>
        <w:tc>
          <w:tcPr>
            <w:tcW w:w="1296" w:type="dxa"/>
            <w:noWrap w:val="0"/>
            <w:vAlign w:val="top"/>
          </w:tcPr>
          <w:p w14:paraId="529DAA45">
            <w:pPr>
              <w:jc w:val="both"/>
              <w:rPr>
                <w:rFonts w:hint="eastAsia"/>
                <w:kern w:val="0"/>
                <w:sz w:val="18"/>
                <w:szCs w:val="18"/>
              </w:rPr>
            </w:pPr>
            <w:r>
              <w:rPr>
                <w:rFonts w:hint="eastAsia"/>
                <w:kern w:val="0"/>
                <w:sz w:val="18"/>
                <w:szCs w:val="18"/>
              </w:rPr>
              <w:t>320259042000</w:t>
            </w:r>
          </w:p>
        </w:tc>
        <w:tc>
          <w:tcPr>
            <w:tcW w:w="1282" w:type="dxa"/>
            <w:noWrap w:val="0"/>
            <w:vAlign w:val="center"/>
          </w:tcPr>
          <w:p w14:paraId="088D0061">
            <w:pPr>
              <w:jc w:val="both"/>
              <w:rPr>
                <w:rFonts w:hint="eastAsia"/>
                <w:kern w:val="0"/>
                <w:sz w:val="18"/>
                <w:szCs w:val="18"/>
              </w:rPr>
            </w:pPr>
            <w:r>
              <w:rPr>
                <w:rFonts w:hint="eastAsia"/>
                <w:kern w:val="0"/>
                <w:sz w:val="18"/>
                <w:szCs w:val="18"/>
              </w:rPr>
              <w:t>对粮食收购者未执行国家粮食质量标准的处罚</w:t>
            </w:r>
          </w:p>
        </w:tc>
        <w:tc>
          <w:tcPr>
            <w:tcW w:w="1016" w:type="dxa"/>
            <w:vMerge w:val="continue"/>
            <w:noWrap w:val="0"/>
            <w:vAlign w:val="center"/>
          </w:tcPr>
          <w:p w14:paraId="1D974BE8">
            <w:pPr>
              <w:rPr>
                <w:rFonts w:ascii="Times New Roman" w:hAnsi="Times New Roman"/>
                <w:b/>
                <w:kern w:val="0"/>
                <w:sz w:val="18"/>
                <w:szCs w:val="18"/>
              </w:rPr>
            </w:pPr>
          </w:p>
        </w:tc>
      </w:tr>
      <w:tr w14:paraId="0576D14B">
        <w:trPr>
          <w:trHeight w:val="917" w:hRule="atLeast"/>
          <w:jc w:val="center"/>
        </w:trPr>
        <w:tc>
          <w:tcPr>
            <w:tcW w:w="536" w:type="dxa"/>
            <w:vMerge w:val="continue"/>
            <w:noWrap w:val="0"/>
            <w:vAlign w:val="center"/>
          </w:tcPr>
          <w:p w14:paraId="6D99C08C">
            <w:pPr>
              <w:jc w:val="center"/>
              <w:rPr>
                <w:rFonts w:ascii="Times New Roman" w:hAnsi="Times New Roman"/>
                <w:kern w:val="0"/>
                <w:sz w:val="18"/>
                <w:szCs w:val="18"/>
              </w:rPr>
            </w:pPr>
          </w:p>
        </w:tc>
        <w:tc>
          <w:tcPr>
            <w:tcW w:w="1324" w:type="dxa"/>
            <w:vMerge w:val="continue"/>
            <w:noWrap w:val="0"/>
            <w:vAlign w:val="center"/>
          </w:tcPr>
          <w:p w14:paraId="4DA59096">
            <w:pPr>
              <w:overflowPunct w:val="0"/>
              <w:autoSpaceDE w:val="0"/>
              <w:autoSpaceDN w:val="0"/>
              <w:ind w:firstLine="360" w:firstLineChars="200"/>
              <w:rPr>
                <w:rFonts w:ascii="Times New Roman" w:hAnsi="Times New Roman"/>
                <w:kern w:val="0"/>
                <w:sz w:val="18"/>
                <w:szCs w:val="18"/>
              </w:rPr>
            </w:pPr>
          </w:p>
        </w:tc>
        <w:tc>
          <w:tcPr>
            <w:tcW w:w="794" w:type="dxa"/>
            <w:vMerge w:val="continue"/>
            <w:noWrap w:val="0"/>
            <w:vAlign w:val="center"/>
          </w:tcPr>
          <w:p w14:paraId="2CE970FF">
            <w:pPr>
              <w:overflowPunct w:val="0"/>
              <w:autoSpaceDE w:val="0"/>
              <w:autoSpaceDN w:val="0"/>
              <w:rPr>
                <w:rFonts w:ascii="Times New Roman" w:hAnsi="Times New Roman"/>
                <w:b/>
                <w:kern w:val="0"/>
                <w:sz w:val="18"/>
                <w:szCs w:val="18"/>
              </w:rPr>
            </w:pPr>
          </w:p>
        </w:tc>
        <w:tc>
          <w:tcPr>
            <w:tcW w:w="872" w:type="dxa"/>
            <w:vMerge w:val="continue"/>
            <w:noWrap w:val="0"/>
            <w:vAlign w:val="center"/>
          </w:tcPr>
          <w:p w14:paraId="766C11F3">
            <w:pPr>
              <w:overflowPunct w:val="0"/>
              <w:autoSpaceDE w:val="0"/>
              <w:autoSpaceDN w:val="0"/>
              <w:rPr>
                <w:rFonts w:ascii="Times New Roman" w:hAnsi="Times New Roman"/>
                <w:b/>
                <w:kern w:val="0"/>
                <w:sz w:val="18"/>
                <w:szCs w:val="18"/>
              </w:rPr>
            </w:pPr>
          </w:p>
        </w:tc>
        <w:tc>
          <w:tcPr>
            <w:tcW w:w="1010" w:type="dxa"/>
            <w:vMerge w:val="continue"/>
            <w:noWrap w:val="0"/>
            <w:vAlign w:val="center"/>
          </w:tcPr>
          <w:p w14:paraId="71CE6BA1">
            <w:pPr>
              <w:overflowPunct w:val="0"/>
              <w:autoSpaceDE w:val="0"/>
              <w:autoSpaceDN w:val="0"/>
              <w:spacing w:line="320" w:lineRule="exact"/>
              <w:rPr>
                <w:rFonts w:ascii="Times New Roman" w:hAnsi="Times New Roman"/>
                <w:b/>
                <w:kern w:val="0"/>
                <w:sz w:val="18"/>
                <w:szCs w:val="18"/>
              </w:rPr>
            </w:pPr>
          </w:p>
        </w:tc>
        <w:tc>
          <w:tcPr>
            <w:tcW w:w="4922" w:type="dxa"/>
            <w:vMerge w:val="continue"/>
            <w:noWrap w:val="0"/>
            <w:vAlign w:val="center"/>
          </w:tcPr>
          <w:p w14:paraId="6DD22228">
            <w:pPr>
              <w:ind w:firstLine="420" w:firstLineChars="200"/>
              <w:rPr>
                <w:rFonts w:ascii="Times New Roman" w:hAnsi="Times New Roman" w:eastAsia="方正仿宋_GBK"/>
                <w:kern w:val="0"/>
                <w:szCs w:val="21"/>
                <w:shd w:val="clear" w:color="auto" w:fill="FFFFFF"/>
              </w:rPr>
            </w:pPr>
          </w:p>
        </w:tc>
        <w:tc>
          <w:tcPr>
            <w:tcW w:w="926" w:type="dxa"/>
            <w:vMerge w:val="continue"/>
            <w:noWrap w:val="0"/>
            <w:vAlign w:val="center"/>
          </w:tcPr>
          <w:p w14:paraId="2E0E2130">
            <w:pPr>
              <w:rPr>
                <w:rFonts w:ascii="Times New Roman" w:hAnsi="Times New Roman"/>
                <w:b/>
                <w:kern w:val="0"/>
                <w:sz w:val="18"/>
                <w:szCs w:val="18"/>
              </w:rPr>
            </w:pPr>
          </w:p>
        </w:tc>
        <w:tc>
          <w:tcPr>
            <w:tcW w:w="1104" w:type="dxa"/>
            <w:vMerge w:val="continue"/>
            <w:noWrap w:val="0"/>
            <w:vAlign w:val="center"/>
          </w:tcPr>
          <w:p w14:paraId="660B278A">
            <w:pPr>
              <w:rPr>
                <w:rFonts w:ascii="Times New Roman" w:hAnsi="Times New Roman"/>
                <w:bCs/>
                <w:kern w:val="0"/>
                <w:sz w:val="18"/>
                <w:szCs w:val="18"/>
              </w:rPr>
            </w:pPr>
          </w:p>
        </w:tc>
        <w:tc>
          <w:tcPr>
            <w:tcW w:w="1296" w:type="dxa"/>
            <w:noWrap w:val="0"/>
            <w:vAlign w:val="top"/>
          </w:tcPr>
          <w:p w14:paraId="3000311D">
            <w:pPr>
              <w:jc w:val="both"/>
              <w:rPr>
                <w:rFonts w:hint="eastAsia"/>
                <w:kern w:val="0"/>
                <w:sz w:val="18"/>
                <w:szCs w:val="18"/>
              </w:rPr>
            </w:pPr>
            <w:r>
              <w:rPr>
                <w:rFonts w:hint="eastAsia"/>
                <w:kern w:val="0"/>
                <w:sz w:val="18"/>
                <w:szCs w:val="18"/>
              </w:rPr>
              <w:t>320259043000</w:t>
            </w:r>
          </w:p>
        </w:tc>
        <w:tc>
          <w:tcPr>
            <w:tcW w:w="1282" w:type="dxa"/>
            <w:noWrap w:val="0"/>
            <w:vAlign w:val="center"/>
          </w:tcPr>
          <w:p w14:paraId="380E7282">
            <w:pPr>
              <w:jc w:val="both"/>
              <w:rPr>
                <w:rFonts w:hint="eastAsia"/>
                <w:kern w:val="0"/>
                <w:sz w:val="18"/>
                <w:szCs w:val="18"/>
              </w:rPr>
            </w:pPr>
            <w:r>
              <w:rPr>
                <w:rFonts w:hint="eastAsia"/>
                <w:kern w:val="0"/>
                <w:sz w:val="18"/>
                <w:szCs w:val="18"/>
              </w:rPr>
              <w:t>对粮食收购者、粮食储存企业未按规定使用仓储设施、运输工具的处罚</w:t>
            </w:r>
          </w:p>
        </w:tc>
        <w:tc>
          <w:tcPr>
            <w:tcW w:w="1016" w:type="dxa"/>
            <w:vMerge w:val="continue"/>
            <w:noWrap w:val="0"/>
            <w:vAlign w:val="center"/>
          </w:tcPr>
          <w:p w14:paraId="2DF8BB56">
            <w:pPr>
              <w:rPr>
                <w:rFonts w:ascii="Times New Roman" w:hAnsi="Times New Roman"/>
                <w:b/>
                <w:kern w:val="0"/>
                <w:sz w:val="18"/>
                <w:szCs w:val="18"/>
              </w:rPr>
            </w:pPr>
          </w:p>
        </w:tc>
      </w:tr>
      <w:tr w14:paraId="1F219F40">
        <w:trPr>
          <w:trHeight w:val="586" w:hRule="atLeast"/>
          <w:jc w:val="center"/>
        </w:trPr>
        <w:tc>
          <w:tcPr>
            <w:tcW w:w="536" w:type="dxa"/>
            <w:vMerge w:val="continue"/>
            <w:noWrap w:val="0"/>
            <w:vAlign w:val="center"/>
          </w:tcPr>
          <w:p w14:paraId="691C57DC">
            <w:pPr>
              <w:jc w:val="center"/>
              <w:rPr>
                <w:rFonts w:ascii="Times New Roman" w:hAnsi="Times New Roman"/>
                <w:kern w:val="0"/>
                <w:sz w:val="18"/>
                <w:szCs w:val="18"/>
              </w:rPr>
            </w:pPr>
          </w:p>
        </w:tc>
        <w:tc>
          <w:tcPr>
            <w:tcW w:w="1324" w:type="dxa"/>
            <w:vMerge w:val="continue"/>
            <w:noWrap w:val="0"/>
            <w:vAlign w:val="center"/>
          </w:tcPr>
          <w:p w14:paraId="4A188181">
            <w:pPr>
              <w:overflowPunct w:val="0"/>
              <w:autoSpaceDE w:val="0"/>
              <w:autoSpaceDN w:val="0"/>
              <w:ind w:firstLine="360" w:firstLineChars="200"/>
              <w:rPr>
                <w:rFonts w:ascii="Times New Roman" w:hAnsi="Times New Roman"/>
                <w:kern w:val="0"/>
                <w:sz w:val="18"/>
                <w:szCs w:val="18"/>
              </w:rPr>
            </w:pPr>
          </w:p>
        </w:tc>
        <w:tc>
          <w:tcPr>
            <w:tcW w:w="794" w:type="dxa"/>
            <w:vMerge w:val="continue"/>
            <w:noWrap w:val="0"/>
            <w:vAlign w:val="center"/>
          </w:tcPr>
          <w:p w14:paraId="5C62EF33">
            <w:pPr>
              <w:overflowPunct w:val="0"/>
              <w:autoSpaceDE w:val="0"/>
              <w:autoSpaceDN w:val="0"/>
              <w:rPr>
                <w:rFonts w:ascii="Times New Roman" w:hAnsi="Times New Roman"/>
                <w:b/>
                <w:kern w:val="0"/>
                <w:sz w:val="18"/>
                <w:szCs w:val="18"/>
              </w:rPr>
            </w:pPr>
          </w:p>
        </w:tc>
        <w:tc>
          <w:tcPr>
            <w:tcW w:w="872" w:type="dxa"/>
            <w:vMerge w:val="continue"/>
            <w:noWrap w:val="0"/>
            <w:vAlign w:val="center"/>
          </w:tcPr>
          <w:p w14:paraId="5BB1925D">
            <w:pPr>
              <w:overflowPunct w:val="0"/>
              <w:autoSpaceDE w:val="0"/>
              <w:autoSpaceDN w:val="0"/>
              <w:rPr>
                <w:rFonts w:ascii="Times New Roman" w:hAnsi="Times New Roman"/>
                <w:b/>
                <w:kern w:val="0"/>
                <w:sz w:val="18"/>
                <w:szCs w:val="18"/>
              </w:rPr>
            </w:pPr>
          </w:p>
        </w:tc>
        <w:tc>
          <w:tcPr>
            <w:tcW w:w="1010" w:type="dxa"/>
            <w:vMerge w:val="continue"/>
            <w:noWrap w:val="0"/>
            <w:vAlign w:val="center"/>
          </w:tcPr>
          <w:p w14:paraId="1C639D89">
            <w:pPr>
              <w:overflowPunct w:val="0"/>
              <w:autoSpaceDE w:val="0"/>
              <w:autoSpaceDN w:val="0"/>
              <w:spacing w:line="320" w:lineRule="exact"/>
              <w:rPr>
                <w:rFonts w:ascii="Times New Roman" w:hAnsi="Times New Roman"/>
                <w:b/>
                <w:kern w:val="0"/>
                <w:sz w:val="18"/>
                <w:szCs w:val="18"/>
              </w:rPr>
            </w:pPr>
          </w:p>
        </w:tc>
        <w:tc>
          <w:tcPr>
            <w:tcW w:w="4922" w:type="dxa"/>
            <w:vMerge w:val="continue"/>
            <w:noWrap w:val="0"/>
            <w:vAlign w:val="center"/>
          </w:tcPr>
          <w:p w14:paraId="7BCBD6AF">
            <w:pPr>
              <w:ind w:firstLine="420" w:firstLineChars="200"/>
              <w:rPr>
                <w:rFonts w:ascii="Times New Roman" w:hAnsi="Times New Roman" w:eastAsia="方正仿宋_GBK"/>
                <w:kern w:val="0"/>
                <w:szCs w:val="21"/>
                <w:shd w:val="clear" w:color="auto" w:fill="FFFFFF"/>
              </w:rPr>
            </w:pPr>
          </w:p>
        </w:tc>
        <w:tc>
          <w:tcPr>
            <w:tcW w:w="926" w:type="dxa"/>
            <w:vMerge w:val="continue"/>
            <w:noWrap w:val="0"/>
            <w:vAlign w:val="center"/>
          </w:tcPr>
          <w:p w14:paraId="2AA5D6AF">
            <w:pPr>
              <w:rPr>
                <w:rFonts w:ascii="Times New Roman" w:hAnsi="Times New Roman"/>
                <w:b/>
                <w:kern w:val="0"/>
                <w:sz w:val="18"/>
                <w:szCs w:val="18"/>
              </w:rPr>
            </w:pPr>
          </w:p>
        </w:tc>
        <w:tc>
          <w:tcPr>
            <w:tcW w:w="1104" w:type="dxa"/>
            <w:vMerge w:val="continue"/>
            <w:noWrap w:val="0"/>
            <w:vAlign w:val="center"/>
          </w:tcPr>
          <w:p w14:paraId="1B05A5BD">
            <w:pPr>
              <w:rPr>
                <w:rFonts w:ascii="Times New Roman" w:hAnsi="Times New Roman"/>
                <w:bCs/>
                <w:kern w:val="0"/>
                <w:sz w:val="18"/>
                <w:szCs w:val="18"/>
              </w:rPr>
            </w:pPr>
          </w:p>
        </w:tc>
        <w:tc>
          <w:tcPr>
            <w:tcW w:w="1296" w:type="dxa"/>
            <w:noWrap w:val="0"/>
            <w:vAlign w:val="top"/>
          </w:tcPr>
          <w:p w14:paraId="141918D9">
            <w:pPr>
              <w:jc w:val="both"/>
              <w:rPr>
                <w:rFonts w:hint="eastAsia"/>
                <w:kern w:val="0"/>
                <w:sz w:val="18"/>
                <w:szCs w:val="18"/>
              </w:rPr>
            </w:pPr>
            <w:r>
              <w:rPr>
                <w:rFonts w:hint="eastAsia"/>
                <w:kern w:val="0"/>
                <w:sz w:val="18"/>
                <w:szCs w:val="18"/>
              </w:rPr>
              <w:t>320259045000</w:t>
            </w:r>
          </w:p>
        </w:tc>
        <w:tc>
          <w:tcPr>
            <w:tcW w:w="1282" w:type="dxa"/>
            <w:noWrap w:val="0"/>
            <w:vAlign w:val="center"/>
          </w:tcPr>
          <w:p w14:paraId="70E12E9F">
            <w:pPr>
              <w:jc w:val="both"/>
              <w:rPr>
                <w:rFonts w:hint="eastAsia"/>
                <w:kern w:val="0"/>
                <w:sz w:val="18"/>
                <w:szCs w:val="18"/>
              </w:rPr>
            </w:pPr>
            <w:r>
              <w:rPr>
                <w:rFonts w:hint="eastAsia"/>
                <w:kern w:val="0"/>
                <w:sz w:val="18"/>
                <w:szCs w:val="18"/>
              </w:rPr>
              <w:t>对粮食收购者未及时向售粮者支付售粮款的处罚</w:t>
            </w:r>
          </w:p>
        </w:tc>
        <w:tc>
          <w:tcPr>
            <w:tcW w:w="1016" w:type="dxa"/>
            <w:vMerge w:val="continue"/>
            <w:noWrap w:val="0"/>
            <w:vAlign w:val="center"/>
          </w:tcPr>
          <w:p w14:paraId="50293828">
            <w:pPr>
              <w:rPr>
                <w:rFonts w:ascii="Times New Roman" w:hAnsi="Times New Roman"/>
                <w:b/>
                <w:kern w:val="0"/>
                <w:sz w:val="18"/>
                <w:szCs w:val="18"/>
              </w:rPr>
            </w:pPr>
          </w:p>
        </w:tc>
      </w:tr>
      <w:tr w14:paraId="3E002342">
        <w:trPr>
          <w:trHeight w:val="586" w:hRule="atLeast"/>
          <w:jc w:val="center"/>
        </w:trPr>
        <w:tc>
          <w:tcPr>
            <w:tcW w:w="536" w:type="dxa"/>
            <w:vMerge w:val="continue"/>
            <w:noWrap w:val="0"/>
            <w:vAlign w:val="center"/>
          </w:tcPr>
          <w:p w14:paraId="6E25EEC1">
            <w:pPr>
              <w:jc w:val="center"/>
              <w:rPr>
                <w:rFonts w:ascii="Times New Roman" w:hAnsi="Times New Roman"/>
                <w:kern w:val="0"/>
                <w:sz w:val="18"/>
                <w:szCs w:val="18"/>
              </w:rPr>
            </w:pPr>
          </w:p>
        </w:tc>
        <w:tc>
          <w:tcPr>
            <w:tcW w:w="1324" w:type="dxa"/>
            <w:vMerge w:val="continue"/>
            <w:noWrap w:val="0"/>
            <w:vAlign w:val="center"/>
          </w:tcPr>
          <w:p w14:paraId="0AC8DF54">
            <w:pPr>
              <w:overflowPunct w:val="0"/>
              <w:autoSpaceDE w:val="0"/>
              <w:autoSpaceDN w:val="0"/>
              <w:ind w:firstLine="360" w:firstLineChars="200"/>
              <w:rPr>
                <w:rFonts w:ascii="Times New Roman" w:hAnsi="Times New Roman"/>
                <w:kern w:val="0"/>
                <w:sz w:val="18"/>
                <w:szCs w:val="18"/>
              </w:rPr>
            </w:pPr>
          </w:p>
        </w:tc>
        <w:tc>
          <w:tcPr>
            <w:tcW w:w="794" w:type="dxa"/>
            <w:vMerge w:val="continue"/>
            <w:noWrap w:val="0"/>
            <w:vAlign w:val="center"/>
          </w:tcPr>
          <w:p w14:paraId="6F6B1FCB">
            <w:pPr>
              <w:overflowPunct w:val="0"/>
              <w:autoSpaceDE w:val="0"/>
              <w:autoSpaceDN w:val="0"/>
              <w:rPr>
                <w:rFonts w:ascii="Times New Roman" w:hAnsi="Times New Roman"/>
                <w:b/>
                <w:kern w:val="0"/>
                <w:sz w:val="18"/>
                <w:szCs w:val="18"/>
              </w:rPr>
            </w:pPr>
          </w:p>
        </w:tc>
        <w:tc>
          <w:tcPr>
            <w:tcW w:w="872" w:type="dxa"/>
            <w:vMerge w:val="continue"/>
            <w:noWrap w:val="0"/>
            <w:vAlign w:val="center"/>
          </w:tcPr>
          <w:p w14:paraId="7CBBEE83">
            <w:pPr>
              <w:overflowPunct w:val="0"/>
              <w:autoSpaceDE w:val="0"/>
              <w:autoSpaceDN w:val="0"/>
              <w:rPr>
                <w:rFonts w:ascii="Times New Roman" w:hAnsi="Times New Roman"/>
                <w:b/>
                <w:kern w:val="0"/>
                <w:sz w:val="18"/>
                <w:szCs w:val="18"/>
              </w:rPr>
            </w:pPr>
          </w:p>
        </w:tc>
        <w:tc>
          <w:tcPr>
            <w:tcW w:w="1010" w:type="dxa"/>
            <w:vMerge w:val="continue"/>
            <w:noWrap w:val="0"/>
            <w:vAlign w:val="center"/>
          </w:tcPr>
          <w:p w14:paraId="563CBF96">
            <w:pPr>
              <w:overflowPunct w:val="0"/>
              <w:autoSpaceDE w:val="0"/>
              <w:autoSpaceDN w:val="0"/>
              <w:spacing w:line="320" w:lineRule="exact"/>
              <w:rPr>
                <w:rFonts w:ascii="Times New Roman" w:hAnsi="Times New Roman"/>
                <w:b/>
                <w:kern w:val="0"/>
                <w:sz w:val="18"/>
                <w:szCs w:val="18"/>
              </w:rPr>
            </w:pPr>
          </w:p>
        </w:tc>
        <w:tc>
          <w:tcPr>
            <w:tcW w:w="4922" w:type="dxa"/>
            <w:vMerge w:val="continue"/>
            <w:noWrap w:val="0"/>
            <w:vAlign w:val="center"/>
          </w:tcPr>
          <w:p w14:paraId="4D9022AF">
            <w:pPr>
              <w:ind w:firstLine="420" w:firstLineChars="200"/>
              <w:rPr>
                <w:rFonts w:ascii="Times New Roman" w:hAnsi="Times New Roman" w:eastAsia="方正仿宋_GBK"/>
                <w:kern w:val="0"/>
                <w:szCs w:val="21"/>
                <w:shd w:val="clear" w:color="auto" w:fill="FFFFFF"/>
              </w:rPr>
            </w:pPr>
          </w:p>
        </w:tc>
        <w:tc>
          <w:tcPr>
            <w:tcW w:w="926" w:type="dxa"/>
            <w:vMerge w:val="continue"/>
            <w:noWrap w:val="0"/>
            <w:vAlign w:val="center"/>
          </w:tcPr>
          <w:p w14:paraId="1831C885">
            <w:pPr>
              <w:rPr>
                <w:rFonts w:ascii="Times New Roman" w:hAnsi="Times New Roman"/>
                <w:b/>
                <w:kern w:val="0"/>
                <w:sz w:val="18"/>
                <w:szCs w:val="18"/>
              </w:rPr>
            </w:pPr>
          </w:p>
        </w:tc>
        <w:tc>
          <w:tcPr>
            <w:tcW w:w="1104" w:type="dxa"/>
            <w:vMerge w:val="continue"/>
            <w:noWrap w:val="0"/>
            <w:vAlign w:val="center"/>
          </w:tcPr>
          <w:p w14:paraId="6C8DFFD2">
            <w:pPr>
              <w:rPr>
                <w:rFonts w:ascii="Times New Roman" w:hAnsi="Times New Roman"/>
                <w:bCs/>
                <w:kern w:val="0"/>
                <w:sz w:val="18"/>
                <w:szCs w:val="18"/>
              </w:rPr>
            </w:pPr>
          </w:p>
        </w:tc>
        <w:tc>
          <w:tcPr>
            <w:tcW w:w="1296" w:type="dxa"/>
            <w:shd w:val="clear" w:color="auto" w:fill="auto"/>
            <w:noWrap w:val="0"/>
            <w:vAlign w:val="top"/>
          </w:tcPr>
          <w:p w14:paraId="1B97BECD">
            <w:pPr>
              <w:jc w:val="both"/>
              <w:rPr>
                <w:rFonts w:hint="eastAsia"/>
                <w:kern w:val="0"/>
                <w:sz w:val="18"/>
                <w:szCs w:val="18"/>
                <w:lang w:val="en-US" w:eastAsia="zh-CN"/>
              </w:rPr>
            </w:pPr>
            <w:r>
              <w:rPr>
                <w:rFonts w:hint="eastAsia"/>
                <w:kern w:val="0"/>
                <w:sz w:val="18"/>
                <w:szCs w:val="18"/>
              </w:rPr>
              <w:t>320259056000</w:t>
            </w:r>
          </w:p>
        </w:tc>
        <w:tc>
          <w:tcPr>
            <w:tcW w:w="1282" w:type="dxa"/>
            <w:shd w:val="clear" w:color="auto" w:fill="auto"/>
            <w:noWrap w:val="0"/>
            <w:vAlign w:val="center"/>
          </w:tcPr>
          <w:p w14:paraId="4E99F353">
            <w:pPr>
              <w:jc w:val="both"/>
              <w:rPr>
                <w:rFonts w:hint="eastAsia"/>
                <w:kern w:val="0"/>
                <w:sz w:val="18"/>
                <w:szCs w:val="18"/>
                <w:lang w:val="en-US" w:eastAsia="zh-CN"/>
              </w:rPr>
            </w:pPr>
            <w:r>
              <w:rPr>
                <w:rFonts w:hint="eastAsia"/>
                <w:kern w:val="0"/>
                <w:sz w:val="18"/>
                <w:szCs w:val="18"/>
              </w:rPr>
              <w:t>对粮食收购者未按照国家有关规定进行质量安全检验，或者对不符合食品安全标准的粮食未作为非食用用途单独储存的处罚</w:t>
            </w:r>
          </w:p>
        </w:tc>
        <w:tc>
          <w:tcPr>
            <w:tcW w:w="1016" w:type="dxa"/>
            <w:noWrap w:val="0"/>
            <w:vAlign w:val="center"/>
          </w:tcPr>
          <w:p w14:paraId="793B853F">
            <w:pPr>
              <w:rPr>
                <w:rFonts w:ascii="Times New Roman" w:hAnsi="Times New Roman"/>
                <w:b/>
                <w:kern w:val="0"/>
                <w:sz w:val="18"/>
                <w:szCs w:val="18"/>
              </w:rPr>
            </w:pPr>
          </w:p>
        </w:tc>
      </w:tr>
      <w:tr w14:paraId="1D719457">
        <w:trPr>
          <w:trHeight w:val="586" w:hRule="atLeast"/>
          <w:jc w:val="center"/>
        </w:trPr>
        <w:tc>
          <w:tcPr>
            <w:tcW w:w="536" w:type="dxa"/>
            <w:vMerge w:val="continue"/>
            <w:noWrap w:val="0"/>
            <w:vAlign w:val="center"/>
          </w:tcPr>
          <w:p w14:paraId="643EFEF7">
            <w:pPr>
              <w:jc w:val="center"/>
              <w:rPr>
                <w:rFonts w:ascii="Times New Roman" w:hAnsi="Times New Roman"/>
                <w:kern w:val="0"/>
                <w:sz w:val="18"/>
                <w:szCs w:val="18"/>
              </w:rPr>
            </w:pPr>
          </w:p>
        </w:tc>
        <w:tc>
          <w:tcPr>
            <w:tcW w:w="1324" w:type="dxa"/>
            <w:vMerge w:val="continue"/>
            <w:noWrap w:val="0"/>
            <w:vAlign w:val="center"/>
          </w:tcPr>
          <w:p w14:paraId="1C83B335">
            <w:pPr>
              <w:overflowPunct w:val="0"/>
              <w:autoSpaceDE w:val="0"/>
              <w:autoSpaceDN w:val="0"/>
              <w:ind w:firstLine="360" w:firstLineChars="200"/>
              <w:rPr>
                <w:rFonts w:ascii="Times New Roman" w:hAnsi="Times New Roman"/>
                <w:kern w:val="0"/>
                <w:sz w:val="18"/>
                <w:szCs w:val="18"/>
              </w:rPr>
            </w:pPr>
          </w:p>
        </w:tc>
        <w:tc>
          <w:tcPr>
            <w:tcW w:w="794" w:type="dxa"/>
            <w:vMerge w:val="continue"/>
            <w:noWrap w:val="0"/>
            <w:vAlign w:val="center"/>
          </w:tcPr>
          <w:p w14:paraId="2C7F9604">
            <w:pPr>
              <w:overflowPunct w:val="0"/>
              <w:autoSpaceDE w:val="0"/>
              <w:autoSpaceDN w:val="0"/>
              <w:rPr>
                <w:rFonts w:ascii="Times New Roman" w:hAnsi="Times New Roman"/>
                <w:b/>
                <w:kern w:val="0"/>
                <w:sz w:val="18"/>
                <w:szCs w:val="18"/>
              </w:rPr>
            </w:pPr>
          </w:p>
        </w:tc>
        <w:tc>
          <w:tcPr>
            <w:tcW w:w="872" w:type="dxa"/>
            <w:vMerge w:val="continue"/>
            <w:noWrap w:val="0"/>
            <w:vAlign w:val="center"/>
          </w:tcPr>
          <w:p w14:paraId="3FEE7312">
            <w:pPr>
              <w:overflowPunct w:val="0"/>
              <w:autoSpaceDE w:val="0"/>
              <w:autoSpaceDN w:val="0"/>
              <w:rPr>
                <w:rFonts w:ascii="Times New Roman" w:hAnsi="Times New Roman"/>
                <w:b/>
                <w:kern w:val="0"/>
                <w:sz w:val="18"/>
                <w:szCs w:val="18"/>
              </w:rPr>
            </w:pPr>
          </w:p>
        </w:tc>
        <w:tc>
          <w:tcPr>
            <w:tcW w:w="1010" w:type="dxa"/>
            <w:vMerge w:val="continue"/>
            <w:noWrap w:val="0"/>
            <w:vAlign w:val="center"/>
          </w:tcPr>
          <w:p w14:paraId="6878D9C4">
            <w:pPr>
              <w:overflowPunct w:val="0"/>
              <w:autoSpaceDE w:val="0"/>
              <w:autoSpaceDN w:val="0"/>
              <w:spacing w:line="320" w:lineRule="exact"/>
              <w:rPr>
                <w:rFonts w:ascii="Times New Roman" w:hAnsi="Times New Roman"/>
                <w:b/>
                <w:kern w:val="0"/>
                <w:sz w:val="18"/>
                <w:szCs w:val="18"/>
              </w:rPr>
            </w:pPr>
          </w:p>
        </w:tc>
        <w:tc>
          <w:tcPr>
            <w:tcW w:w="4922" w:type="dxa"/>
            <w:vMerge w:val="continue"/>
            <w:noWrap w:val="0"/>
            <w:vAlign w:val="center"/>
          </w:tcPr>
          <w:p w14:paraId="247F32A1">
            <w:pPr>
              <w:ind w:firstLine="420" w:firstLineChars="200"/>
              <w:rPr>
                <w:rFonts w:ascii="Times New Roman" w:hAnsi="Times New Roman" w:eastAsia="方正仿宋_GBK"/>
                <w:kern w:val="0"/>
                <w:szCs w:val="21"/>
                <w:shd w:val="clear" w:color="auto" w:fill="FFFFFF"/>
              </w:rPr>
            </w:pPr>
          </w:p>
        </w:tc>
        <w:tc>
          <w:tcPr>
            <w:tcW w:w="926" w:type="dxa"/>
            <w:vMerge w:val="continue"/>
            <w:noWrap w:val="0"/>
            <w:vAlign w:val="center"/>
          </w:tcPr>
          <w:p w14:paraId="37CB29BD">
            <w:pPr>
              <w:rPr>
                <w:rFonts w:ascii="Times New Roman" w:hAnsi="Times New Roman"/>
                <w:b/>
                <w:kern w:val="0"/>
                <w:sz w:val="18"/>
                <w:szCs w:val="18"/>
              </w:rPr>
            </w:pPr>
          </w:p>
        </w:tc>
        <w:tc>
          <w:tcPr>
            <w:tcW w:w="1104" w:type="dxa"/>
            <w:vMerge w:val="continue"/>
            <w:noWrap w:val="0"/>
            <w:vAlign w:val="center"/>
          </w:tcPr>
          <w:p w14:paraId="31FD844F">
            <w:pPr>
              <w:rPr>
                <w:rFonts w:ascii="Times New Roman" w:hAnsi="Times New Roman"/>
                <w:bCs/>
                <w:kern w:val="0"/>
                <w:sz w:val="18"/>
                <w:szCs w:val="18"/>
              </w:rPr>
            </w:pPr>
          </w:p>
        </w:tc>
        <w:tc>
          <w:tcPr>
            <w:tcW w:w="1296" w:type="dxa"/>
            <w:shd w:val="clear" w:color="auto" w:fill="auto"/>
            <w:noWrap w:val="0"/>
            <w:vAlign w:val="top"/>
          </w:tcPr>
          <w:p w14:paraId="31C3DB04">
            <w:pPr>
              <w:jc w:val="both"/>
              <w:rPr>
                <w:rFonts w:hint="eastAsia"/>
                <w:kern w:val="0"/>
                <w:sz w:val="18"/>
                <w:szCs w:val="18"/>
              </w:rPr>
            </w:pPr>
            <w:r>
              <w:rPr>
                <w:rFonts w:hint="eastAsia"/>
                <w:kern w:val="0"/>
                <w:sz w:val="18"/>
                <w:szCs w:val="18"/>
                <w:lang w:val="en-US" w:eastAsia="zh-CN"/>
              </w:rPr>
              <w:t>320259064000</w:t>
            </w:r>
          </w:p>
        </w:tc>
        <w:tc>
          <w:tcPr>
            <w:tcW w:w="1282" w:type="dxa"/>
            <w:shd w:val="clear" w:color="auto" w:fill="auto"/>
            <w:noWrap w:val="0"/>
            <w:vAlign w:val="center"/>
          </w:tcPr>
          <w:p w14:paraId="0419029F">
            <w:pPr>
              <w:jc w:val="both"/>
              <w:rPr>
                <w:rFonts w:hint="eastAsia"/>
                <w:kern w:val="0"/>
                <w:sz w:val="18"/>
                <w:szCs w:val="18"/>
              </w:rPr>
            </w:pPr>
            <w:r>
              <w:rPr>
                <w:rFonts w:hint="eastAsia"/>
                <w:kern w:val="0"/>
                <w:sz w:val="18"/>
                <w:szCs w:val="18"/>
              </w:rPr>
              <w:t>对粮食收购企业未按照规定备案或者提供虚假备案信息的处罚</w:t>
            </w:r>
          </w:p>
        </w:tc>
        <w:tc>
          <w:tcPr>
            <w:tcW w:w="1016" w:type="dxa"/>
            <w:noWrap w:val="0"/>
            <w:vAlign w:val="center"/>
          </w:tcPr>
          <w:p w14:paraId="19CD34AA">
            <w:pPr>
              <w:rPr>
                <w:rFonts w:ascii="Times New Roman" w:hAnsi="Times New Roman"/>
                <w:b/>
                <w:kern w:val="0"/>
                <w:sz w:val="18"/>
                <w:szCs w:val="18"/>
              </w:rPr>
            </w:pPr>
          </w:p>
        </w:tc>
      </w:tr>
      <w:tr w14:paraId="2807488C">
        <w:trPr>
          <w:jc w:val="center"/>
        </w:trPr>
        <w:tc>
          <w:tcPr>
            <w:tcW w:w="536" w:type="dxa"/>
            <w:vMerge w:val="restart"/>
            <w:noWrap w:val="0"/>
            <w:vAlign w:val="center"/>
          </w:tcPr>
          <w:p w14:paraId="37693008">
            <w:pPr>
              <w:jc w:val="center"/>
              <w:rPr>
                <w:rFonts w:hint="eastAsia" w:ascii="Times New Roman" w:hAnsi="Times New Roman" w:eastAsia="宋体"/>
                <w:kern w:val="0"/>
                <w:sz w:val="18"/>
                <w:szCs w:val="18"/>
                <w:lang w:val="en-US" w:eastAsia="zh-CN"/>
              </w:rPr>
            </w:pPr>
            <w:r>
              <w:rPr>
                <w:rFonts w:hint="eastAsia"/>
                <w:kern w:val="0"/>
                <w:sz w:val="18"/>
                <w:szCs w:val="18"/>
                <w:lang w:val="en-US" w:eastAsia="zh-CN"/>
              </w:rPr>
              <w:t>2</w:t>
            </w:r>
          </w:p>
        </w:tc>
        <w:tc>
          <w:tcPr>
            <w:tcW w:w="1324" w:type="dxa"/>
            <w:vMerge w:val="restart"/>
            <w:noWrap w:val="0"/>
            <w:vAlign w:val="center"/>
          </w:tcPr>
          <w:p w14:paraId="5CAE66DF">
            <w:pPr>
              <w:overflowPunct w:val="0"/>
              <w:autoSpaceDE w:val="0"/>
              <w:autoSpaceDN w:val="0"/>
              <w:rPr>
                <w:rFonts w:ascii="Times New Roman" w:hAnsi="Times New Roman"/>
                <w:b/>
                <w:kern w:val="0"/>
                <w:sz w:val="18"/>
                <w:szCs w:val="18"/>
              </w:rPr>
            </w:pPr>
            <w:r>
              <w:rPr>
                <w:rFonts w:hint="eastAsia" w:ascii="Times New Roman" w:hAnsi="宋体"/>
                <w:kern w:val="0"/>
                <w:sz w:val="18"/>
                <w:szCs w:val="18"/>
                <w:lang w:val="en-US" w:eastAsia="zh-CN"/>
              </w:rPr>
              <w:t>对粮食经营者经营行为的检查</w:t>
            </w:r>
          </w:p>
        </w:tc>
        <w:tc>
          <w:tcPr>
            <w:tcW w:w="794" w:type="dxa"/>
            <w:vMerge w:val="restart"/>
            <w:noWrap w:val="0"/>
            <w:vAlign w:val="center"/>
          </w:tcPr>
          <w:p w14:paraId="555899A4">
            <w:pPr>
              <w:overflowPunct w:val="0"/>
              <w:autoSpaceDE w:val="0"/>
              <w:autoSpaceDN w:val="0"/>
              <w:rPr>
                <w:rFonts w:ascii="Times New Roman" w:hAnsi="Times New Roman"/>
                <w:b/>
                <w:kern w:val="0"/>
                <w:sz w:val="18"/>
                <w:szCs w:val="18"/>
              </w:rPr>
            </w:pPr>
            <w:r>
              <w:rPr>
                <w:rFonts w:hint="eastAsia" w:hAnsi="宋体"/>
                <w:kern w:val="0"/>
                <w:sz w:val="18"/>
                <w:szCs w:val="18"/>
                <w:lang w:val="en-US" w:eastAsia="zh-CN"/>
              </w:rPr>
              <w:t>相城区发展和改革委员会</w:t>
            </w:r>
          </w:p>
        </w:tc>
        <w:tc>
          <w:tcPr>
            <w:tcW w:w="872" w:type="dxa"/>
            <w:vMerge w:val="restart"/>
            <w:noWrap w:val="0"/>
            <w:vAlign w:val="center"/>
          </w:tcPr>
          <w:p w14:paraId="7E2F05A4">
            <w:pPr>
              <w:overflowPunct w:val="0"/>
              <w:autoSpaceDE w:val="0"/>
              <w:autoSpaceDN w:val="0"/>
              <w:rPr>
                <w:rFonts w:ascii="Times New Roman" w:hAnsi="Times New Roman"/>
                <w:b/>
                <w:kern w:val="0"/>
                <w:sz w:val="18"/>
                <w:szCs w:val="18"/>
              </w:rPr>
            </w:pPr>
            <w:r>
              <w:rPr>
                <w:rFonts w:hint="eastAsia" w:ascii="Times New Roman" w:hAnsi="宋体"/>
                <w:kern w:val="0"/>
                <w:sz w:val="18"/>
                <w:szCs w:val="18"/>
                <w:lang w:val="en-US" w:eastAsia="zh-CN"/>
              </w:rPr>
              <w:t>粮食和物资储备科</w:t>
            </w:r>
          </w:p>
        </w:tc>
        <w:tc>
          <w:tcPr>
            <w:tcW w:w="1010" w:type="dxa"/>
            <w:vMerge w:val="restart"/>
            <w:noWrap w:val="0"/>
            <w:vAlign w:val="center"/>
          </w:tcPr>
          <w:p w14:paraId="23F6ED29">
            <w:pPr>
              <w:overflowPunct w:val="0"/>
              <w:autoSpaceDE w:val="0"/>
              <w:autoSpaceDN w:val="0"/>
              <w:spacing w:line="320" w:lineRule="exact"/>
              <w:rPr>
                <w:rFonts w:ascii="Times New Roman" w:hAnsi="Times New Roman" w:eastAsia="宋体" w:cs="Times New Roman"/>
                <w:b/>
                <w:kern w:val="0"/>
                <w:sz w:val="18"/>
                <w:szCs w:val="18"/>
                <w:lang w:val="en-US" w:eastAsia="zh-CN" w:bidi="ar-SA"/>
              </w:rPr>
            </w:pPr>
            <w:r>
              <w:rPr>
                <w:rFonts w:hint="eastAsia" w:ascii="Times New Roman" w:hAnsi="宋体"/>
                <w:kern w:val="0"/>
                <w:sz w:val="18"/>
                <w:szCs w:val="18"/>
                <w:lang w:val="en-US" w:eastAsia="zh-CN"/>
              </w:rPr>
              <w:t>粮油承储企业</w:t>
            </w:r>
          </w:p>
        </w:tc>
        <w:tc>
          <w:tcPr>
            <w:tcW w:w="4922" w:type="dxa"/>
            <w:vMerge w:val="restart"/>
            <w:noWrap w:val="0"/>
            <w:vAlign w:val="center"/>
          </w:tcPr>
          <w:p w14:paraId="09437B22">
            <w:pPr>
              <w:ind w:firstLine="360" w:firstLineChars="200"/>
              <w:jc w:val="left"/>
              <w:rPr>
                <w:rFonts w:hint="eastAsia"/>
                <w:kern w:val="0"/>
                <w:sz w:val="18"/>
                <w:szCs w:val="18"/>
              </w:rPr>
            </w:pPr>
            <w:r>
              <w:rPr>
                <w:rFonts w:hint="eastAsia"/>
                <w:kern w:val="0"/>
                <w:sz w:val="18"/>
                <w:szCs w:val="18"/>
              </w:rPr>
              <w:t>《粮食流通管理条例》</w:t>
            </w:r>
          </w:p>
          <w:p w14:paraId="2538E925">
            <w:pPr>
              <w:ind w:firstLine="360" w:firstLineChars="200"/>
              <w:jc w:val="left"/>
              <w:rPr>
                <w:rFonts w:hint="eastAsia"/>
                <w:kern w:val="0"/>
                <w:sz w:val="18"/>
                <w:szCs w:val="18"/>
              </w:rPr>
            </w:pPr>
            <w:r>
              <w:rPr>
                <w:rFonts w:hint="eastAsia"/>
                <w:kern w:val="0"/>
                <w:sz w:val="18"/>
                <w:szCs w:val="18"/>
              </w:rPr>
              <w:t>第四十五条 有下列情形之一的，由粮食和储备行政管理部门责令改正，给予警告，可以并处20万元以下罚款；情节严重的，并处20万元以上50万元以下罚款：</w:t>
            </w:r>
          </w:p>
          <w:p w14:paraId="1C315813">
            <w:pPr>
              <w:ind w:firstLine="360" w:firstLineChars="200"/>
              <w:jc w:val="left"/>
              <w:rPr>
                <w:rFonts w:hint="eastAsia"/>
                <w:kern w:val="0"/>
                <w:sz w:val="18"/>
                <w:szCs w:val="18"/>
              </w:rPr>
            </w:pPr>
            <w:r>
              <w:rPr>
                <w:rFonts w:hint="eastAsia"/>
                <w:kern w:val="0"/>
                <w:sz w:val="18"/>
                <w:szCs w:val="18"/>
              </w:rPr>
              <w:t>（五）从事粮食收购、销售、储存、加工的粮食经营者以及饲料、工业用粮企业未建立粮食经营台账，或者未按照规定报送粮食基本数据和有关情况；</w:t>
            </w:r>
          </w:p>
          <w:p w14:paraId="4E978D5E">
            <w:pPr>
              <w:ind w:firstLine="360" w:firstLineChars="200"/>
              <w:jc w:val="left"/>
              <w:rPr>
                <w:rFonts w:hint="eastAsia"/>
                <w:kern w:val="0"/>
                <w:sz w:val="18"/>
                <w:szCs w:val="18"/>
              </w:rPr>
            </w:pPr>
            <w:r>
              <w:rPr>
                <w:rFonts w:hint="eastAsia"/>
                <w:kern w:val="0"/>
                <w:sz w:val="18"/>
                <w:szCs w:val="18"/>
              </w:rPr>
              <w:t>（六）粮食储存企业未按照规定进行粮食销售出库质量安全检验。</w:t>
            </w:r>
          </w:p>
          <w:p w14:paraId="3AD4FEDB">
            <w:pPr>
              <w:ind w:firstLine="360" w:firstLineChars="200"/>
              <w:jc w:val="left"/>
              <w:rPr>
                <w:rFonts w:hint="eastAsia"/>
                <w:kern w:val="0"/>
                <w:sz w:val="18"/>
                <w:szCs w:val="18"/>
              </w:rPr>
            </w:pPr>
            <w:r>
              <w:rPr>
                <w:rFonts w:hint="eastAsia"/>
                <w:kern w:val="0"/>
                <w:sz w:val="18"/>
                <w:szCs w:val="18"/>
              </w:rPr>
              <w:t>第四十七条 粮食收购者、粮食储存企业将下列粮食作为食用用途销售出库的，由粮食和储备行政管理部门没收违法所得……：</w:t>
            </w:r>
          </w:p>
          <w:p w14:paraId="295B7B9B">
            <w:pPr>
              <w:ind w:firstLine="360" w:firstLineChars="200"/>
              <w:jc w:val="left"/>
              <w:rPr>
                <w:rFonts w:hint="eastAsia"/>
                <w:kern w:val="0"/>
                <w:sz w:val="18"/>
                <w:szCs w:val="18"/>
              </w:rPr>
            </w:pPr>
            <w:r>
              <w:rPr>
                <w:rFonts w:hint="eastAsia"/>
                <w:kern w:val="0"/>
                <w:sz w:val="18"/>
                <w:szCs w:val="18"/>
              </w:rPr>
              <w:t>（一）真菌毒素、农药残留、重金属等污染物质以及其他危害人体健康的物质含量超过食品安全标准限量的；</w:t>
            </w:r>
          </w:p>
          <w:p w14:paraId="151522C9">
            <w:pPr>
              <w:ind w:firstLine="360" w:firstLineChars="200"/>
              <w:jc w:val="left"/>
              <w:rPr>
                <w:rFonts w:hint="eastAsia"/>
                <w:kern w:val="0"/>
                <w:sz w:val="18"/>
                <w:szCs w:val="18"/>
              </w:rPr>
            </w:pPr>
            <w:r>
              <w:rPr>
                <w:rFonts w:hint="eastAsia"/>
                <w:kern w:val="0"/>
                <w:sz w:val="18"/>
                <w:szCs w:val="18"/>
              </w:rPr>
              <w:t>（二）霉变或者色泽、气味异常的；</w:t>
            </w:r>
          </w:p>
          <w:p w14:paraId="1BE7AE86">
            <w:pPr>
              <w:ind w:firstLine="360" w:firstLineChars="200"/>
              <w:jc w:val="left"/>
              <w:rPr>
                <w:rFonts w:hint="eastAsia"/>
                <w:kern w:val="0"/>
                <w:sz w:val="18"/>
                <w:szCs w:val="18"/>
              </w:rPr>
            </w:pPr>
            <w:r>
              <w:rPr>
                <w:rFonts w:hint="eastAsia"/>
                <w:kern w:val="0"/>
                <w:sz w:val="18"/>
                <w:szCs w:val="18"/>
              </w:rPr>
              <w:t>（三）储存期间使用储粮药剂未满安全间隔期的；</w:t>
            </w:r>
          </w:p>
          <w:p w14:paraId="64A0B645">
            <w:pPr>
              <w:ind w:firstLine="360" w:firstLineChars="200"/>
              <w:jc w:val="left"/>
              <w:rPr>
                <w:rFonts w:hint="eastAsia"/>
                <w:kern w:val="0"/>
                <w:sz w:val="18"/>
                <w:szCs w:val="18"/>
              </w:rPr>
            </w:pPr>
            <w:r>
              <w:rPr>
                <w:rFonts w:hint="eastAsia"/>
                <w:kern w:val="0"/>
                <w:sz w:val="18"/>
                <w:szCs w:val="18"/>
              </w:rPr>
              <w:t>（四）被包装材料、容器、运输工具等污染的；</w:t>
            </w:r>
          </w:p>
          <w:p w14:paraId="020BACDF">
            <w:pPr>
              <w:ind w:firstLine="360" w:firstLineChars="200"/>
              <w:jc w:val="left"/>
              <w:rPr>
                <w:rFonts w:hint="eastAsia"/>
                <w:kern w:val="0"/>
                <w:sz w:val="18"/>
                <w:szCs w:val="18"/>
              </w:rPr>
            </w:pPr>
            <w:r>
              <w:rPr>
                <w:rFonts w:hint="eastAsia"/>
                <w:kern w:val="0"/>
                <w:sz w:val="18"/>
                <w:szCs w:val="18"/>
              </w:rPr>
              <w:t>（五）其他法律、法规或者国家有关规定明确不得作为食用用途销售的。</w:t>
            </w:r>
          </w:p>
          <w:p w14:paraId="0E369582">
            <w:pPr>
              <w:ind w:firstLine="360" w:firstLineChars="200"/>
              <w:jc w:val="left"/>
              <w:rPr>
                <w:rFonts w:hint="eastAsia"/>
                <w:kern w:val="0"/>
                <w:sz w:val="18"/>
                <w:szCs w:val="18"/>
              </w:rPr>
            </w:pPr>
            <w:r>
              <w:rPr>
                <w:rFonts w:hint="eastAsia"/>
                <w:kern w:val="0"/>
                <w:sz w:val="18"/>
                <w:szCs w:val="18"/>
              </w:rPr>
              <w:t>第五十一条 从事粮食经营活动的企业有违反本条例规定的违法情形且情节严重的，对其法定代表人、主要负责人、直接负责的主管人员和其他直接责任人员处以其上一年度从本企业取得收入的1倍以上10倍以下罚款。</w:t>
            </w:r>
          </w:p>
          <w:p w14:paraId="6AF89094">
            <w:pPr>
              <w:ind w:firstLine="360" w:firstLineChars="200"/>
              <w:jc w:val="left"/>
              <w:rPr>
                <w:rFonts w:hint="eastAsia"/>
                <w:kern w:val="0"/>
                <w:sz w:val="18"/>
                <w:szCs w:val="18"/>
              </w:rPr>
            </w:pPr>
            <w:r>
              <w:rPr>
                <w:rFonts w:hint="eastAsia"/>
                <w:kern w:val="0"/>
                <w:sz w:val="18"/>
                <w:szCs w:val="18"/>
              </w:rPr>
              <w:t>《中华人民共和国粮食安全保障法》</w:t>
            </w:r>
          </w:p>
          <w:p w14:paraId="0344AC59">
            <w:pPr>
              <w:ind w:firstLine="360" w:firstLineChars="200"/>
              <w:jc w:val="left"/>
              <w:rPr>
                <w:rFonts w:hint="eastAsia"/>
                <w:kern w:val="0"/>
                <w:sz w:val="18"/>
                <w:szCs w:val="18"/>
              </w:rPr>
            </w:pPr>
            <w:r>
              <w:rPr>
                <w:rFonts w:hint="eastAsia"/>
                <w:kern w:val="0"/>
                <w:sz w:val="18"/>
                <w:szCs w:val="18"/>
              </w:rPr>
              <w:t>第六十七条　违反本法规定，承储政府粮食储备的企业或者其他组织有下列行为之一的，依照有关行政法规的规定处罚： 从事粮食收购、储存、加工、销售的经营者以及饲料、工业用粮企业未按照规定建立粮食经营台账，或者报送粮食基本数据和有关情况的，依照前款规定处罚。</w:t>
            </w:r>
          </w:p>
          <w:p w14:paraId="4C63549F">
            <w:pPr>
              <w:ind w:firstLine="360" w:firstLineChars="200"/>
              <w:jc w:val="left"/>
              <w:rPr>
                <w:rFonts w:hint="eastAsia"/>
                <w:kern w:val="0"/>
                <w:sz w:val="18"/>
                <w:szCs w:val="18"/>
              </w:rPr>
            </w:pPr>
            <w:r>
              <w:rPr>
                <w:rFonts w:hint="eastAsia"/>
                <w:kern w:val="0"/>
                <w:sz w:val="18"/>
                <w:szCs w:val="18"/>
              </w:rPr>
              <w:t>第六十八条　违反本法规定，侵占、损毁、擅自拆除或者迁移政府投资建设的粮食流通基础设施，或者擅自改变其用途的，由县级以上地方人民政府有关部门依照职责责令停止违法行为，限期恢复原状或者采取其他补救措施；逾期不恢复原状、不采取其他补救措施的，对单位处五万元以上五十万元以下罚款，对个人处五千元以上五万元以下罚款。</w:t>
            </w:r>
          </w:p>
          <w:p w14:paraId="27895BB4">
            <w:pPr>
              <w:ind w:firstLine="360" w:firstLineChars="200"/>
              <w:jc w:val="left"/>
              <w:rPr>
                <w:rFonts w:hint="eastAsia"/>
                <w:kern w:val="0"/>
                <w:sz w:val="18"/>
                <w:szCs w:val="18"/>
              </w:rPr>
            </w:pPr>
            <w:r>
              <w:rPr>
                <w:rFonts w:hint="eastAsia"/>
                <w:kern w:val="0"/>
                <w:sz w:val="18"/>
                <w:szCs w:val="18"/>
              </w:rPr>
              <w:t>第六十九条　违反本法规定，粮食应急状态发生时，不服从县级以上人民政府的统一指挥和调度，或者不配合采取应急处置措施的，由县级以上人民政府有关部门依照职责责令改正，给予警告；拒不改正的，对单位处二万元以上二十万元以下罚款，对个人处二千元以上二万元以下罚款；情节严重的，对单位处二十万元以上二百万元以下罚款，对个人处二万元以上二十万元以下罚款。</w:t>
            </w:r>
          </w:p>
          <w:p w14:paraId="13B5BA96">
            <w:pPr>
              <w:ind w:firstLine="360" w:firstLineChars="200"/>
              <w:jc w:val="left"/>
              <w:rPr>
                <w:rFonts w:hint="eastAsia"/>
                <w:kern w:val="0"/>
                <w:sz w:val="18"/>
                <w:szCs w:val="18"/>
              </w:rPr>
            </w:pPr>
            <w:r>
              <w:rPr>
                <w:rFonts w:hint="eastAsia"/>
                <w:kern w:val="0"/>
                <w:sz w:val="18"/>
                <w:szCs w:val="18"/>
              </w:rPr>
              <w:t>《粮油仓储管理办法》</w:t>
            </w:r>
          </w:p>
          <w:p w14:paraId="281052DD">
            <w:pPr>
              <w:ind w:firstLine="360" w:firstLineChars="200"/>
              <w:jc w:val="left"/>
              <w:rPr>
                <w:rFonts w:hint="eastAsia"/>
                <w:kern w:val="0"/>
                <w:sz w:val="18"/>
                <w:szCs w:val="18"/>
              </w:rPr>
            </w:pPr>
            <w:r>
              <w:rPr>
                <w:rFonts w:hint="eastAsia"/>
                <w:kern w:val="0"/>
                <w:sz w:val="18"/>
                <w:szCs w:val="18"/>
              </w:rPr>
              <w:t xml:space="preserve">第五条国家粮食行政管理部门负责全国粮油仓储监督管理工作，制定管理制度和标准，组织储粮安全检查工作。 　　县级以上地方人民政府粮食行政管理部门负责本行政区域的粮油仓储监督管理工作。 </w:t>
            </w:r>
          </w:p>
          <w:p w14:paraId="3168B8CE">
            <w:pPr>
              <w:ind w:firstLine="360" w:firstLineChars="200"/>
              <w:jc w:val="left"/>
              <w:rPr>
                <w:rFonts w:hint="eastAsia"/>
                <w:kern w:val="0"/>
                <w:sz w:val="18"/>
                <w:szCs w:val="18"/>
              </w:rPr>
            </w:pPr>
            <w:r>
              <w:rPr>
                <w:rFonts w:hint="eastAsia"/>
                <w:kern w:val="0"/>
                <w:sz w:val="18"/>
                <w:szCs w:val="18"/>
              </w:rPr>
              <w:t>第七条 粮油仓储单位应当具备以下条件：（一）拥有固定经营场地，并符合本办法有关污染源、危险源安全距离的规定；（二）拥有与从事粮油仓储活动相适应的设施设备，并符合粮油储藏技术规范的要求； 　　（三）拥有相应的专业技术管理人员。</w:t>
            </w:r>
          </w:p>
          <w:p w14:paraId="3717D1D9">
            <w:pPr>
              <w:ind w:firstLine="360" w:firstLineChars="200"/>
              <w:jc w:val="left"/>
              <w:rPr>
                <w:rFonts w:hint="eastAsia"/>
                <w:kern w:val="0"/>
                <w:sz w:val="18"/>
                <w:szCs w:val="18"/>
              </w:rPr>
            </w:pPr>
            <w:r>
              <w:rPr>
                <w:rFonts w:hint="eastAsia"/>
                <w:kern w:val="0"/>
                <w:sz w:val="18"/>
                <w:szCs w:val="18"/>
              </w:rPr>
              <w:t xml:space="preserve"> 第二十八条 粮油仓储单位违反本办法第六条规定，未在规定时间向粮食行政管理部门备案，或者备案内容弄虚作假的，由负责备案管理的粮食行政管理部门责令改正，给予警告；拒不改正的，处1万元以下罚款。</w:t>
            </w:r>
          </w:p>
          <w:p w14:paraId="6441ABC2">
            <w:pPr>
              <w:ind w:firstLine="360" w:firstLineChars="200"/>
              <w:jc w:val="left"/>
              <w:rPr>
                <w:rFonts w:hint="eastAsia"/>
                <w:kern w:val="0"/>
                <w:sz w:val="18"/>
                <w:szCs w:val="18"/>
              </w:rPr>
            </w:pPr>
            <w:r>
              <w:rPr>
                <w:rFonts w:hint="eastAsia"/>
                <w:kern w:val="0"/>
                <w:sz w:val="18"/>
                <w:szCs w:val="18"/>
              </w:rPr>
              <w:t>第二十九条 粮油仓储单位不具备本办法第七条规定条件的，由负责备案管理的粮食行政管理部门责令改正，给予警告；拒不改正的，处1万元以上3万元以下罚款。</w:t>
            </w:r>
          </w:p>
          <w:p w14:paraId="05DC92B5">
            <w:pPr>
              <w:ind w:firstLine="360" w:firstLineChars="200"/>
              <w:jc w:val="left"/>
              <w:rPr>
                <w:rFonts w:hint="eastAsia"/>
                <w:kern w:val="0"/>
                <w:sz w:val="18"/>
                <w:szCs w:val="18"/>
              </w:rPr>
            </w:pPr>
            <w:r>
              <w:rPr>
                <w:rFonts w:hint="eastAsia"/>
                <w:kern w:val="0"/>
                <w:sz w:val="18"/>
                <w:szCs w:val="18"/>
              </w:rPr>
              <w:t>第三十条 粮油仓储单位的名称不符合本办法第八条规定的，由负责备案管理的粮食行政管理部门责令改正，给予警告。</w:t>
            </w:r>
          </w:p>
          <w:p w14:paraId="1CF8D4EA">
            <w:pPr>
              <w:ind w:firstLine="360" w:firstLineChars="200"/>
              <w:jc w:val="left"/>
              <w:rPr>
                <w:rFonts w:hint="eastAsia"/>
                <w:kern w:val="0"/>
                <w:sz w:val="18"/>
                <w:szCs w:val="18"/>
              </w:rPr>
            </w:pPr>
            <w:r>
              <w:rPr>
                <w:rFonts w:hint="eastAsia"/>
                <w:kern w:val="0"/>
                <w:sz w:val="18"/>
                <w:szCs w:val="18"/>
              </w:rPr>
              <w:t>第三十一条 粮油仓储单位违反本办法有关粮油出入库、储存等管理规定的，由所在地粮食行政管理部门责令改正，给予警告；情节严重的，可以并处3万元以下罚款；造成粮油储存事故或者安全生产事故的，按照有关法律法规和国家有关规定给予处罚。</w:t>
            </w:r>
          </w:p>
          <w:p w14:paraId="10EE6BA7">
            <w:pPr>
              <w:ind w:firstLine="360" w:firstLineChars="200"/>
              <w:jc w:val="left"/>
              <w:rPr>
                <w:rFonts w:hint="eastAsia"/>
                <w:kern w:val="0"/>
                <w:sz w:val="18"/>
                <w:szCs w:val="18"/>
              </w:rPr>
            </w:pPr>
            <w:r>
              <w:rPr>
                <w:rFonts w:hint="eastAsia"/>
                <w:kern w:val="0"/>
                <w:sz w:val="18"/>
                <w:szCs w:val="18"/>
              </w:rPr>
              <w:t xml:space="preserve"> 《国有粮油仓储物流设施保护办法》</w:t>
            </w:r>
          </w:p>
          <w:p w14:paraId="49EF5B6D">
            <w:pPr>
              <w:ind w:firstLine="360" w:firstLineChars="200"/>
              <w:jc w:val="left"/>
              <w:rPr>
                <w:rFonts w:hint="eastAsia"/>
                <w:kern w:val="0"/>
                <w:sz w:val="18"/>
                <w:szCs w:val="18"/>
              </w:rPr>
            </w:pPr>
            <w:r>
              <w:rPr>
                <w:rFonts w:hint="eastAsia"/>
                <w:kern w:val="0"/>
                <w:sz w:val="18"/>
                <w:szCs w:val="18"/>
              </w:rPr>
              <w:t>第二十一条 任何公民、法人和其他组织违反本办法规定拆除、迁移粮油仓储物流设施，非法侵占、损坏粮油仓储物流设施或者擅自改变其用途，由粮油仓储物流设施所在地粮食行政管理部门责令其限期改正，并依法予以警告或者罚款；有违法所得的，没收违法所得；造成财产损失的，依法承担民事赔偿责任；构成犯罪的，依法追究刑事责任。</w:t>
            </w:r>
          </w:p>
          <w:p w14:paraId="4283A724">
            <w:pPr>
              <w:ind w:firstLine="360" w:firstLineChars="200"/>
              <w:jc w:val="left"/>
              <w:rPr>
                <w:rFonts w:hint="eastAsia"/>
                <w:kern w:val="0"/>
                <w:sz w:val="18"/>
                <w:szCs w:val="18"/>
              </w:rPr>
            </w:pPr>
            <w:r>
              <w:rPr>
                <w:rFonts w:hint="eastAsia"/>
                <w:kern w:val="0"/>
                <w:sz w:val="18"/>
                <w:szCs w:val="18"/>
              </w:rPr>
              <w:t>第二十三条第一款 粮油仓储单位违反本办法规定，未及时备案的，由备案管辖的粮食行政管理部门责令限期改正；拒不改正的，依法予以警告或者罚款。</w:t>
            </w:r>
          </w:p>
          <w:p w14:paraId="797E3FEE">
            <w:pPr>
              <w:ind w:firstLine="360" w:firstLineChars="200"/>
              <w:jc w:val="left"/>
              <w:rPr>
                <w:rFonts w:hint="eastAsia"/>
                <w:kern w:val="0"/>
                <w:sz w:val="18"/>
                <w:szCs w:val="18"/>
              </w:rPr>
            </w:pPr>
            <w:r>
              <w:rPr>
                <w:rFonts w:hint="eastAsia"/>
                <w:kern w:val="0"/>
                <w:sz w:val="18"/>
                <w:szCs w:val="18"/>
              </w:rPr>
              <w:t>《江苏省粮食流通条例》</w:t>
            </w:r>
          </w:p>
          <w:p w14:paraId="3FC228D3">
            <w:pPr>
              <w:ind w:firstLine="360" w:firstLineChars="200"/>
              <w:jc w:val="left"/>
              <w:rPr>
                <w:rFonts w:hint="eastAsia"/>
                <w:kern w:val="0"/>
                <w:sz w:val="18"/>
                <w:szCs w:val="18"/>
              </w:rPr>
            </w:pPr>
            <w:r>
              <w:rPr>
                <w:rFonts w:hint="eastAsia"/>
                <w:kern w:val="0"/>
                <w:sz w:val="18"/>
                <w:szCs w:val="18"/>
              </w:rPr>
              <w:t xml:space="preserve">第十七条粮食经营主体应当对所经营粮食的质量负责，建立完整的粮食经营台账，包括检验原始记录、检验报告、产地、品种、等级、收获年度、入库来源、储存和销售去向等相关信息。 </w:t>
            </w:r>
          </w:p>
          <w:p w14:paraId="6FBA1EEF">
            <w:pPr>
              <w:ind w:firstLine="360" w:firstLineChars="200"/>
              <w:jc w:val="left"/>
              <w:rPr>
                <w:rFonts w:ascii="Times New Roman" w:hAnsi="Times New Roman"/>
                <w:b/>
                <w:kern w:val="0"/>
                <w:sz w:val="18"/>
                <w:szCs w:val="18"/>
              </w:rPr>
            </w:pPr>
            <w:r>
              <w:rPr>
                <w:rFonts w:hint="eastAsia"/>
                <w:kern w:val="0"/>
                <w:sz w:val="18"/>
                <w:szCs w:val="18"/>
              </w:rPr>
              <w:t>第五十八条 违反本条例第十七条规定，粮食经营主体未建立粮食经营台账的，由粮食部门责令改正，给予警告，可以并处二万元以上二十万元以下罚款；情节严重的，并处以二十万元以上五十万元以下罚款。</w:t>
            </w:r>
          </w:p>
        </w:tc>
        <w:tc>
          <w:tcPr>
            <w:tcW w:w="926" w:type="dxa"/>
            <w:vMerge w:val="restart"/>
            <w:noWrap w:val="0"/>
            <w:vAlign w:val="center"/>
          </w:tcPr>
          <w:p w14:paraId="75F838AC">
            <w:pPr>
              <w:rPr>
                <w:rFonts w:ascii="Times New Roman" w:hAnsi="Times New Roman"/>
                <w:b/>
                <w:kern w:val="0"/>
                <w:sz w:val="18"/>
                <w:szCs w:val="18"/>
              </w:rPr>
            </w:pPr>
            <w:r>
              <w:rPr>
                <w:rFonts w:ascii="Times New Roman" w:hAnsi="宋体"/>
                <w:bCs/>
                <w:kern w:val="0"/>
                <w:sz w:val="18"/>
                <w:szCs w:val="18"/>
              </w:rPr>
              <w:t>现场检查</w:t>
            </w:r>
          </w:p>
        </w:tc>
        <w:tc>
          <w:tcPr>
            <w:tcW w:w="1104" w:type="dxa"/>
            <w:vMerge w:val="restart"/>
            <w:noWrap w:val="0"/>
            <w:vAlign w:val="center"/>
          </w:tcPr>
          <w:p w14:paraId="41B9EB8B">
            <w:pPr>
              <w:rPr>
                <w:rFonts w:ascii="Times New Roman" w:hAnsi="Times New Roman"/>
                <w:b/>
                <w:kern w:val="0"/>
                <w:sz w:val="18"/>
                <w:szCs w:val="18"/>
              </w:rPr>
            </w:pPr>
            <w:r>
              <w:rPr>
                <w:rFonts w:hint="eastAsia"/>
                <w:bCs/>
                <w:kern w:val="0"/>
                <w:sz w:val="18"/>
                <w:szCs w:val="18"/>
                <w:lang w:val="en-US" w:eastAsia="zh-CN"/>
              </w:rPr>
              <w:t>2</w:t>
            </w:r>
            <w:r>
              <w:rPr>
                <w:rFonts w:ascii="Times New Roman" w:hAnsi="宋体"/>
                <w:bCs/>
                <w:kern w:val="0"/>
                <w:sz w:val="18"/>
                <w:szCs w:val="18"/>
              </w:rPr>
              <w:t>次</w:t>
            </w:r>
            <w:r>
              <w:rPr>
                <w:rFonts w:ascii="Times New Roman" w:hAnsi="Times New Roman"/>
                <w:bCs/>
                <w:kern w:val="0"/>
                <w:sz w:val="18"/>
                <w:szCs w:val="18"/>
              </w:rPr>
              <w:t>/</w:t>
            </w:r>
            <w:r>
              <w:rPr>
                <w:rFonts w:ascii="Times New Roman" w:hAnsi="宋体"/>
                <w:bCs/>
                <w:kern w:val="0"/>
                <w:sz w:val="18"/>
                <w:szCs w:val="18"/>
              </w:rPr>
              <w:t>年</w:t>
            </w:r>
          </w:p>
        </w:tc>
        <w:tc>
          <w:tcPr>
            <w:tcW w:w="1296" w:type="dxa"/>
            <w:shd w:val="clear" w:color="auto" w:fill="auto"/>
            <w:noWrap w:val="0"/>
            <w:vAlign w:val="top"/>
          </w:tcPr>
          <w:p w14:paraId="4E9FDDAE">
            <w:pPr>
              <w:jc w:val="both"/>
              <w:rPr>
                <w:rFonts w:hint="eastAsia"/>
                <w:kern w:val="0"/>
                <w:sz w:val="18"/>
                <w:szCs w:val="18"/>
                <w:lang w:val="en-US" w:eastAsia="zh-CN"/>
              </w:rPr>
            </w:pPr>
            <w:r>
              <w:rPr>
                <w:rFonts w:hint="eastAsia"/>
                <w:kern w:val="0"/>
                <w:sz w:val="18"/>
                <w:szCs w:val="18"/>
              </w:rPr>
              <w:t>320259053000</w:t>
            </w:r>
          </w:p>
        </w:tc>
        <w:tc>
          <w:tcPr>
            <w:tcW w:w="1282" w:type="dxa"/>
            <w:shd w:val="clear" w:color="auto" w:fill="auto"/>
            <w:noWrap w:val="0"/>
            <w:vAlign w:val="top"/>
          </w:tcPr>
          <w:p w14:paraId="3E522F3B">
            <w:pPr>
              <w:jc w:val="both"/>
              <w:rPr>
                <w:rFonts w:hint="eastAsia"/>
                <w:kern w:val="0"/>
                <w:sz w:val="18"/>
                <w:szCs w:val="18"/>
                <w:lang w:val="en-US" w:eastAsia="zh-CN"/>
              </w:rPr>
            </w:pPr>
            <w:r>
              <w:rPr>
                <w:rFonts w:hint="eastAsia"/>
                <w:kern w:val="0"/>
                <w:sz w:val="18"/>
                <w:szCs w:val="18"/>
              </w:rPr>
              <w:t>对粮食储存企业未按照规定进行粮食销售出库质量安全检验的处罚</w:t>
            </w:r>
          </w:p>
        </w:tc>
        <w:tc>
          <w:tcPr>
            <w:tcW w:w="1016" w:type="dxa"/>
            <w:noWrap w:val="0"/>
            <w:vAlign w:val="center"/>
          </w:tcPr>
          <w:p w14:paraId="180E2648">
            <w:pPr>
              <w:rPr>
                <w:rFonts w:ascii="Times New Roman" w:hAnsi="Times New Roman"/>
                <w:b/>
                <w:kern w:val="0"/>
                <w:sz w:val="18"/>
                <w:szCs w:val="18"/>
              </w:rPr>
            </w:pPr>
          </w:p>
        </w:tc>
      </w:tr>
      <w:tr w14:paraId="2DF5D0D3">
        <w:trPr>
          <w:jc w:val="center"/>
        </w:trPr>
        <w:tc>
          <w:tcPr>
            <w:tcW w:w="536" w:type="dxa"/>
            <w:vMerge w:val="continue"/>
            <w:noWrap w:val="0"/>
            <w:vAlign w:val="center"/>
          </w:tcPr>
          <w:p w14:paraId="0CDF56C9">
            <w:pPr>
              <w:jc w:val="center"/>
              <w:rPr>
                <w:rFonts w:ascii="Times New Roman" w:hAnsi="Times New Roman"/>
                <w:kern w:val="0"/>
                <w:sz w:val="18"/>
                <w:szCs w:val="18"/>
              </w:rPr>
            </w:pPr>
          </w:p>
        </w:tc>
        <w:tc>
          <w:tcPr>
            <w:tcW w:w="1324" w:type="dxa"/>
            <w:vMerge w:val="continue"/>
            <w:noWrap w:val="0"/>
            <w:vAlign w:val="center"/>
          </w:tcPr>
          <w:p w14:paraId="3B962938">
            <w:pPr>
              <w:overflowPunct w:val="0"/>
              <w:autoSpaceDE w:val="0"/>
              <w:autoSpaceDN w:val="0"/>
              <w:ind w:firstLine="360" w:firstLineChars="200"/>
              <w:rPr>
                <w:rFonts w:ascii="Times New Roman" w:hAnsi="Times New Roman"/>
                <w:b/>
                <w:kern w:val="0"/>
                <w:sz w:val="18"/>
                <w:szCs w:val="18"/>
              </w:rPr>
            </w:pPr>
          </w:p>
        </w:tc>
        <w:tc>
          <w:tcPr>
            <w:tcW w:w="794" w:type="dxa"/>
            <w:vMerge w:val="continue"/>
            <w:noWrap w:val="0"/>
            <w:vAlign w:val="center"/>
          </w:tcPr>
          <w:p w14:paraId="14706996">
            <w:pPr>
              <w:overflowPunct w:val="0"/>
              <w:autoSpaceDE w:val="0"/>
              <w:autoSpaceDN w:val="0"/>
              <w:ind w:firstLine="360" w:firstLineChars="200"/>
              <w:rPr>
                <w:rFonts w:ascii="Times New Roman" w:hAnsi="Times New Roman"/>
                <w:b/>
                <w:kern w:val="0"/>
                <w:sz w:val="18"/>
                <w:szCs w:val="18"/>
              </w:rPr>
            </w:pPr>
          </w:p>
        </w:tc>
        <w:tc>
          <w:tcPr>
            <w:tcW w:w="872" w:type="dxa"/>
            <w:vMerge w:val="continue"/>
            <w:noWrap w:val="0"/>
            <w:vAlign w:val="center"/>
          </w:tcPr>
          <w:p w14:paraId="64E0DA8D">
            <w:pPr>
              <w:overflowPunct w:val="0"/>
              <w:autoSpaceDE w:val="0"/>
              <w:autoSpaceDN w:val="0"/>
              <w:rPr>
                <w:rFonts w:ascii="Times New Roman" w:hAnsi="Times New Roman"/>
                <w:b/>
                <w:kern w:val="0"/>
                <w:sz w:val="18"/>
                <w:szCs w:val="18"/>
              </w:rPr>
            </w:pPr>
          </w:p>
        </w:tc>
        <w:tc>
          <w:tcPr>
            <w:tcW w:w="1010" w:type="dxa"/>
            <w:vMerge w:val="continue"/>
            <w:noWrap w:val="0"/>
            <w:vAlign w:val="center"/>
          </w:tcPr>
          <w:p w14:paraId="2AF9C7E1">
            <w:pPr>
              <w:overflowPunct w:val="0"/>
              <w:autoSpaceDE w:val="0"/>
              <w:autoSpaceDN w:val="0"/>
              <w:spacing w:line="320" w:lineRule="exact"/>
              <w:jc w:val="center"/>
              <w:rPr>
                <w:rFonts w:ascii="Times New Roman" w:hAnsi="Times New Roman"/>
                <w:b/>
                <w:kern w:val="0"/>
                <w:sz w:val="18"/>
                <w:szCs w:val="18"/>
              </w:rPr>
            </w:pPr>
          </w:p>
        </w:tc>
        <w:tc>
          <w:tcPr>
            <w:tcW w:w="4922" w:type="dxa"/>
            <w:vMerge w:val="continue"/>
            <w:noWrap w:val="0"/>
            <w:vAlign w:val="center"/>
          </w:tcPr>
          <w:p w14:paraId="671D207F">
            <w:pPr>
              <w:ind w:firstLine="360" w:firstLineChars="200"/>
              <w:rPr>
                <w:rFonts w:ascii="Times New Roman" w:hAnsi="Times New Roman"/>
                <w:b/>
                <w:kern w:val="0"/>
                <w:sz w:val="18"/>
                <w:szCs w:val="18"/>
              </w:rPr>
            </w:pPr>
          </w:p>
        </w:tc>
        <w:tc>
          <w:tcPr>
            <w:tcW w:w="926" w:type="dxa"/>
            <w:vMerge w:val="continue"/>
            <w:noWrap w:val="0"/>
            <w:vAlign w:val="center"/>
          </w:tcPr>
          <w:p w14:paraId="1140DE23">
            <w:pPr>
              <w:rPr>
                <w:rFonts w:ascii="Times New Roman" w:hAnsi="Times New Roman"/>
                <w:b/>
                <w:kern w:val="0"/>
                <w:sz w:val="18"/>
                <w:szCs w:val="18"/>
              </w:rPr>
            </w:pPr>
          </w:p>
        </w:tc>
        <w:tc>
          <w:tcPr>
            <w:tcW w:w="1104" w:type="dxa"/>
            <w:vMerge w:val="continue"/>
            <w:noWrap w:val="0"/>
            <w:vAlign w:val="center"/>
          </w:tcPr>
          <w:p w14:paraId="0ECC4B95">
            <w:pPr>
              <w:rPr>
                <w:rFonts w:ascii="Times New Roman" w:hAnsi="Times New Roman"/>
                <w:b/>
                <w:kern w:val="0"/>
                <w:sz w:val="18"/>
                <w:szCs w:val="18"/>
              </w:rPr>
            </w:pPr>
          </w:p>
        </w:tc>
        <w:tc>
          <w:tcPr>
            <w:tcW w:w="1296" w:type="dxa"/>
            <w:shd w:val="clear" w:color="auto" w:fill="auto"/>
            <w:noWrap w:val="0"/>
            <w:vAlign w:val="top"/>
          </w:tcPr>
          <w:p w14:paraId="2C3514FB">
            <w:pPr>
              <w:jc w:val="both"/>
              <w:rPr>
                <w:rFonts w:hint="eastAsia"/>
                <w:kern w:val="0"/>
                <w:sz w:val="18"/>
                <w:szCs w:val="18"/>
                <w:lang w:val="en-US" w:eastAsia="zh-CN"/>
              </w:rPr>
            </w:pPr>
            <w:r>
              <w:rPr>
                <w:rFonts w:hint="eastAsia"/>
                <w:kern w:val="0"/>
                <w:sz w:val="18"/>
                <w:szCs w:val="18"/>
              </w:rPr>
              <w:t>320259034000</w:t>
            </w:r>
          </w:p>
        </w:tc>
        <w:tc>
          <w:tcPr>
            <w:tcW w:w="1282" w:type="dxa"/>
            <w:shd w:val="clear" w:color="auto" w:fill="auto"/>
            <w:noWrap w:val="0"/>
            <w:vAlign w:val="top"/>
          </w:tcPr>
          <w:p w14:paraId="4D3C0776">
            <w:pPr>
              <w:jc w:val="both"/>
              <w:rPr>
                <w:rFonts w:hint="eastAsia"/>
                <w:kern w:val="0"/>
                <w:sz w:val="18"/>
                <w:szCs w:val="18"/>
                <w:lang w:val="en-US" w:eastAsia="zh-CN"/>
              </w:rPr>
            </w:pPr>
            <w:r>
              <w:rPr>
                <w:rFonts w:hint="eastAsia"/>
                <w:kern w:val="0"/>
                <w:sz w:val="18"/>
                <w:szCs w:val="18"/>
              </w:rPr>
              <w:t>对粮食经营者以及饲料、工业用粮企业未建立粮食经营台账或者未按照规定报送粮食基本数据和有关情况的处罚</w:t>
            </w:r>
          </w:p>
        </w:tc>
        <w:tc>
          <w:tcPr>
            <w:tcW w:w="1016" w:type="dxa"/>
            <w:noWrap w:val="0"/>
            <w:vAlign w:val="center"/>
          </w:tcPr>
          <w:p w14:paraId="5C16D922">
            <w:pPr>
              <w:rPr>
                <w:rFonts w:ascii="Times New Roman" w:hAnsi="Times New Roman"/>
                <w:b/>
                <w:kern w:val="0"/>
                <w:sz w:val="18"/>
                <w:szCs w:val="18"/>
              </w:rPr>
            </w:pPr>
          </w:p>
        </w:tc>
      </w:tr>
      <w:tr w14:paraId="78C58235">
        <w:trPr>
          <w:jc w:val="center"/>
        </w:trPr>
        <w:tc>
          <w:tcPr>
            <w:tcW w:w="536" w:type="dxa"/>
            <w:vMerge w:val="continue"/>
            <w:noWrap w:val="0"/>
            <w:vAlign w:val="center"/>
          </w:tcPr>
          <w:p w14:paraId="70097D16">
            <w:pPr>
              <w:jc w:val="center"/>
              <w:rPr>
                <w:rFonts w:ascii="Times New Roman" w:hAnsi="Times New Roman"/>
                <w:kern w:val="0"/>
                <w:sz w:val="18"/>
                <w:szCs w:val="18"/>
              </w:rPr>
            </w:pPr>
          </w:p>
        </w:tc>
        <w:tc>
          <w:tcPr>
            <w:tcW w:w="1324" w:type="dxa"/>
            <w:vMerge w:val="continue"/>
            <w:noWrap w:val="0"/>
            <w:vAlign w:val="center"/>
          </w:tcPr>
          <w:p w14:paraId="42D06536">
            <w:pPr>
              <w:overflowPunct w:val="0"/>
              <w:autoSpaceDE w:val="0"/>
              <w:autoSpaceDN w:val="0"/>
              <w:ind w:firstLine="360" w:firstLineChars="200"/>
              <w:rPr>
                <w:rFonts w:ascii="Times New Roman" w:hAnsi="Times New Roman"/>
                <w:b/>
                <w:kern w:val="0"/>
                <w:sz w:val="18"/>
                <w:szCs w:val="18"/>
              </w:rPr>
            </w:pPr>
          </w:p>
        </w:tc>
        <w:tc>
          <w:tcPr>
            <w:tcW w:w="794" w:type="dxa"/>
            <w:vMerge w:val="continue"/>
            <w:noWrap w:val="0"/>
            <w:vAlign w:val="center"/>
          </w:tcPr>
          <w:p w14:paraId="52E97FE8">
            <w:pPr>
              <w:overflowPunct w:val="0"/>
              <w:autoSpaceDE w:val="0"/>
              <w:autoSpaceDN w:val="0"/>
              <w:ind w:firstLine="360" w:firstLineChars="200"/>
              <w:rPr>
                <w:rFonts w:ascii="Times New Roman" w:hAnsi="Times New Roman"/>
                <w:b/>
                <w:kern w:val="0"/>
                <w:sz w:val="18"/>
                <w:szCs w:val="18"/>
              </w:rPr>
            </w:pPr>
          </w:p>
        </w:tc>
        <w:tc>
          <w:tcPr>
            <w:tcW w:w="872" w:type="dxa"/>
            <w:vMerge w:val="continue"/>
            <w:noWrap w:val="0"/>
            <w:vAlign w:val="center"/>
          </w:tcPr>
          <w:p w14:paraId="72D43B34">
            <w:pPr>
              <w:overflowPunct w:val="0"/>
              <w:autoSpaceDE w:val="0"/>
              <w:autoSpaceDN w:val="0"/>
              <w:rPr>
                <w:rFonts w:ascii="Times New Roman" w:hAnsi="Times New Roman"/>
                <w:b/>
                <w:kern w:val="0"/>
                <w:sz w:val="18"/>
                <w:szCs w:val="18"/>
              </w:rPr>
            </w:pPr>
          </w:p>
        </w:tc>
        <w:tc>
          <w:tcPr>
            <w:tcW w:w="1010" w:type="dxa"/>
            <w:vMerge w:val="continue"/>
            <w:noWrap w:val="0"/>
            <w:vAlign w:val="center"/>
          </w:tcPr>
          <w:p w14:paraId="1C283DD4">
            <w:pPr>
              <w:overflowPunct w:val="0"/>
              <w:autoSpaceDE w:val="0"/>
              <w:autoSpaceDN w:val="0"/>
              <w:spacing w:line="320" w:lineRule="exact"/>
              <w:jc w:val="center"/>
              <w:rPr>
                <w:rFonts w:ascii="Times New Roman" w:hAnsi="Times New Roman"/>
                <w:b/>
                <w:kern w:val="0"/>
                <w:sz w:val="18"/>
                <w:szCs w:val="18"/>
              </w:rPr>
            </w:pPr>
          </w:p>
        </w:tc>
        <w:tc>
          <w:tcPr>
            <w:tcW w:w="4922" w:type="dxa"/>
            <w:vMerge w:val="continue"/>
            <w:noWrap w:val="0"/>
            <w:vAlign w:val="center"/>
          </w:tcPr>
          <w:p w14:paraId="626BBC87">
            <w:pPr>
              <w:ind w:firstLine="360" w:firstLineChars="200"/>
              <w:rPr>
                <w:rFonts w:ascii="Times New Roman" w:hAnsi="Times New Roman"/>
                <w:b/>
                <w:kern w:val="0"/>
                <w:sz w:val="18"/>
                <w:szCs w:val="18"/>
              </w:rPr>
            </w:pPr>
          </w:p>
        </w:tc>
        <w:tc>
          <w:tcPr>
            <w:tcW w:w="926" w:type="dxa"/>
            <w:vMerge w:val="continue"/>
            <w:noWrap w:val="0"/>
            <w:vAlign w:val="center"/>
          </w:tcPr>
          <w:p w14:paraId="4CC70FBB">
            <w:pPr>
              <w:rPr>
                <w:rFonts w:ascii="Times New Roman" w:hAnsi="Times New Roman"/>
                <w:b/>
                <w:kern w:val="0"/>
                <w:sz w:val="18"/>
                <w:szCs w:val="18"/>
              </w:rPr>
            </w:pPr>
          </w:p>
        </w:tc>
        <w:tc>
          <w:tcPr>
            <w:tcW w:w="1104" w:type="dxa"/>
            <w:vMerge w:val="continue"/>
            <w:noWrap w:val="0"/>
            <w:vAlign w:val="center"/>
          </w:tcPr>
          <w:p w14:paraId="6114DD13">
            <w:pPr>
              <w:rPr>
                <w:rFonts w:ascii="Times New Roman" w:hAnsi="Times New Roman"/>
                <w:b/>
                <w:kern w:val="0"/>
                <w:sz w:val="18"/>
                <w:szCs w:val="18"/>
              </w:rPr>
            </w:pPr>
          </w:p>
        </w:tc>
        <w:tc>
          <w:tcPr>
            <w:tcW w:w="1296" w:type="dxa"/>
            <w:shd w:val="clear" w:color="auto" w:fill="auto"/>
            <w:noWrap w:val="0"/>
            <w:vAlign w:val="top"/>
          </w:tcPr>
          <w:p w14:paraId="6882F9E6">
            <w:pPr>
              <w:jc w:val="both"/>
              <w:rPr>
                <w:rFonts w:hint="eastAsia"/>
                <w:kern w:val="0"/>
                <w:sz w:val="18"/>
                <w:szCs w:val="18"/>
                <w:lang w:val="en-US" w:eastAsia="zh-CN"/>
              </w:rPr>
            </w:pPr>
            <w:r>
              <w:rPr>
                <w:rFonts w:hint="eastAsia"/>
                <w:kern w:val="0"/>
                <w:sz w:val="18"/>
                <w:szCs w:val="18"/>
              </w:rPr>
              <w:t>320259054000</w:t>
            </w:r>
          </w:p>
        </w:tc>
        <w:tc>
          <w:tcPr>
            <w:tcW w:w="1282" w:type="dxa"/>
            <w:shd w:val="clear" w:color="auto" w:fill="auto"/>
            <w:noWrap w:val="0"/>
            <w:vAlign w:val="top"/>
          </w:tcPr>
          <w:p w14:paraId="568013F2">
            <w:pPr>
              <w:jc w:val="both"/>
              <w:rPr>
                <w:rFonts w:hint="eastAsia"/>
                <w:kern w:val="0"/>
                <w:sz w:val="18"/>
                <w:szCs w:val="18"/>
                <w:lang w:val="en-US" w:eastAsia="zh-CN"/>
              </w:rPr>
            </w:pPr>
            <w:r>
              <w:rPr>
                <w:rFonts w:hint="eastAsia"/>
                <w:kern w:val="0"/>
                <w:sz w:val="18"/>
                <w:szCs w:val="18"/>
              </w:rPr>
              <w:t>对粮食收购者、粮食储存企业将不符合食品安全标准的粮食作为食用用途销售出库的处罚</w:t>
            </w:r>
          </w:p>
        </w:tc>
        <w:tc>
          <w:tcPr>
            <w:tcW w:w="1016" w:type="dxa"/>
            <w:noWrap w:val="0"/>
            <w:vAlign w:val="center"/>
          </w:tcPr>
          <w:p w14:paraId="7AD1F4BB">
            <w:pPr>
              <w:rPr>
                <w:rFonts w:ascii="Times New Roman" w:hAnsi="Times New Roman"/>
                <w:b/>
                <w:kern w:val="0"/>
                <w:sz w:val="18"/>
                <w:szCs w:val="18"/>
              </w:rPr>
            </w:pPr>
          </w:p>
        </w:tc>
      </w:tr>
      <w:tr w14:paraId="32A45CB8">
        <w:trPr>
          <w:jc w:val="center"/>
        </w:trPr>
        <w:tc>
          <w:tcPr>
            <w:tcW w:w="536" w:type="dxa"/>
            <w:vMerge w:val="continue"/>
            <w:noWrap w:val="0"/>
            <w:vAlign w:val="center"/>
          </w:tcPr>
          <w:p w14:paraId="41593A8A">
            <w:pPr>
              <w:jc w:val="center"/>
              <w:rPr>
                <w:rFonts w:ascii="Times New Roman" w:hAnsi="Times New Roman"/>
                <w:kern w:val="0"/>
                <w:sz w:val="18"/>
                <w:szCs w:val="18"/>
              </w:rPr>
            </w:pPr>
          </w:p>
        </w:tc>
        <w:tc>
          <w:tcPr>
            <w:tcW w:w="1324" w:type="dxa"/>
            <w:vMerge w:val="continue"/>
            <w:noWrap w:val="0"/>
            <w:vAlign w:val="center"/>
          </w:tcPr>
          <w:p w14:paraId="4CAED829">
            <w:pPr>
              <w:overflowPunct w:val="0"/>
              <w:autoSpaceDE w:val="0"/>
              <w:autoSpaceDN w:val="0"/>
              <w:ind w:firstLine="360" w:firstLineChars="200"/>
              <w:rPr>
                <w:rFonts w:ascii="Times New Roman" w:hAnsi="Times New Roman"/>
                <w:b/>
                <w:kern w:val="0"/>
                <w:sz w:val="18"/>
                <w:szCs w:val="18"/>
              </w:rPr>
            </w:pPr>
          </w:p>
        </w:tc>
        <w:tc>
          <w:tcPr>
            <w:tcW w:w="794" w:type="dxa"/>
            <w:vMerge w:val="continue"/>
            <w:noWrap w:val="0"/>
            <w:vAlign w:val="center"/>
          </w:tcPr>
          <w:p w14:paraId="3EE5710F">
            <w:pPr>
              <w:overflowPunct w:val="0"/>
              <w:autoSpaceDE w:val="0"/>
              <w:autoSpaceDN w:val="0"/>
              <w:ind w:firstLine="360" w:firstLineChars="200"/>
              <w:rPr>
                <w:rFonts w:ascii="Times New Roman" w:hAnsi="Times New Roman"/>
                <w:b/>
                <w:kern w:val="0"/>
                <w:sz w:val="18"/>
                <w:szCs w:val="18"/>
              </w:rPr>
            </w:pPr>
          </w:p>
        </w:tc>
        <w:tc>
          <w:tcPr>
            <w:tcW w:w="872" w:type="dxa"/>
            <w:vMerge w:val="continue"/>
            <w:noWrap w:val="0"/>
            <w:vAlign w:val="center"/>
          </w:tcPr>
          <w:p w14:paraId="1FECCBD7">
            <w:pPr>
              <w:overflowPunct w:val="0"/>
              <w:autoSpaceDE w:val="0"/>
              <w:autoSpaceDN w:val="0"/>
              <w:rPr>
                <w:rFonts w:ascii="Times New Roman" w:hAnsi="Times New Roman"/>
                <w:b/>
                <w:kern w:val="0"/>
                <w:sz w:val="18"/>
                <w:szCs w:val="18"/>
              </w:rPr>
            </w:pPr>
          </w:p>
        </w:tc>
        <w:tc>
          <w:tcPr>
            <w:tcW w:w="1010" w:type="dxa"/>
            <w:vMerge w:val="continue"/>
            <w:noWrap w:val="0"/>
            <w:vAlign w:val="center"/>
          </w:tcPr>
          <w:p w14:paraId="369E1504">
            <w:pPr>
              <w:overflowPunct w:val="0"/>
              <w:autoSpaceDE w:val="0"/>
              <w:autoSpaceDN w:val="0"/>
              <w:spacing w:line="320" w:lineRule="exact"/>
              <w:jc w:val="center"/>
              <w:rPr>
                <w:rFonts w:ascii="Times New Roman" w:hAnsi="Times New Roman"/>
                <w:b/>
                <w:kern w:val="0"/>
                <w:sz w:val="18"/>
                <w:szCs w:val="18"/>
              </w:rPr>
            </w:pPr>
          </w:p>
        </w:tc>
        <w:tc>
          <w:tcPr>
            <w:tcW w:w="4922" w:type="dxa"/>
            <w:vMerge w:val="continue"/>
            <w:noWrap w:val="0"/>
            <w:vAlign w:val="center"/>
          </w:tcPr>
          <w:p w14:paraId="00B9B90F">
            <w:pPr>
              <w:ind w:firstLine="360" w:firstLineChars="200"/>
              <w:rPr>
                <w:rFonts w:ascii="Times New Roman" w:hAnsi="Times New Roman"/>
                <w:b/>
                <w:kern w:val="0"/>
                <w:sz w:val="18"/>
                <w:szCs w:val="18"/>
              </w:rPr>
            </w:pPr>
          </w:p>
        </w:tc>
        <w:tc>
          <w:tcPr>
            <w:tcW w:w="926" w:type="dxa"/>
            <w:vMerge w:val="continue"/>
            <w:noWrap w:val="0"/>
            <w:vAlign w:val="center"/>
          </w:tcPr>
          <w:p w14:paraId="0378518C">
            <w:pPr>
              <w:rPr>
                <w:rFonts w:ascii="Times New Roman" w:hAnsi="Times New Roman"/>
                <w:b/>
                <w:kern w:val="0"/>
                <w:sz w:val="18"/>
                <w:szCs w:val="18"/>
              </w:rPr>
            </w:pPr>
          </w:p>
        </w:tc>
        <w:tc>
          <w:tcPr>
            <w:tcW w:w="1104" w:type="dxa"/>
            <w:vMerge w:val="continue"/>
            <w:noWrap w:val="0"/>
            <w:vAlign w:val="center"/>
          </w:tcPr>
          <w:p w14:paraId="5C3E8904">
            <w:pPr>
              <w:rPr>
                <w:rFonts w:ascii="Times New Roman" w:hAnsi="Times New Roman"/>
                <w:b/>
                <w:kern w:val="0"/>
                <w:sz w:val="18"/>
                <w:szCs w:val="18"/>
              </w:rPr>
            </w:pPr>
          </w:p>
        </w:tc>
        <w:tc>
          <w:tcPr>
            <w:tcW w:w="1296" w:type="dxa"/>
            <w:shd w:val="clear" w:color="auto" w:fill="auto"/>
            <w:noWrap w:val="0"/>
            <w:vAlign w:val="top"/>
          </w:tcPr>
          <w:p w14:paraId="0F414258">
            <w:pPr>
              <w:jc w:val="both"/>
              <w:rPr>
                <w:rFonts w:hint="eastAsia"/>
                <w:kern w:val="0"/>
                <w:sz w:val="18"/>
                <w:szCs w:val="18"/>
                <w:lang w:val="en-US" w:eastAsia="zh-CN"/>
              </w:rPr>
            </w:pPr>
            <w:r>
              <w:rPr>
                <w:rFonts w:hint="eastAsia"/>
                <w:kern w:val="0"/>
                <w:sz w:val="18"/>
                <w:szCs w:val="18"/>
              </w:rPr>
              <w:t>320259017000</w:t>
            </w:r>
          </w:p>
        </w:tc>
        <w:tc>
          <w:tcPr>
            <w:tcW w:w="1282" w:type="dxa"/>
            <w:shd w:val="clear" w:color="auto" w:fill="auto"/>
            <w:noWrap w:val="0"/>
            <w:vAlign w:val="top"/>
          </w:tcPr>
          <w:p w14:paraId="024117BF">
            <w:pPr>
              <w:jc w:val="both"/>
              <w:rPr>
                <w:rFonts w:hint="eastAsia"/>
                <w:kern w:val="0"/>
                <w:sz w:val="18"/>
                <w:szCs w:val="18"/>
                <w:lang w:val="en-US" w:eastAsia="zh-CN"/>
              </w:rPr>
            </w:pPr>
            <w:r>
              <w:rPr>
                <w:rFonts w:hint="eastAsia"/>
                <w:kern w:val="0"/>
                <w:sz w:val="18"/>
                <w:szCs w:val="18"/>
              </w:rPr>
              <w:t>拆除、迁移粮油仓储物流设施，非法侵占、损坏粮油仓储物流设施或者擅自改变其用途的处罚</w:t>
            </w:r>
          </w:p>
        </w:tc>
        <w:tc>
          <w:tcPr>
            <w:tcW w:w="1016" w:type="dxa"/>
            <w:noWrap w:val="0"/>
            <w:vAlign w:val="center"/>
          </w:tcPr>
          <w:p w14:paraId="7351FC77">
            <w:pPr>
              <w:rPr>
                <w:rFonts w:ascii="Times New Roman" w:hAnsi="Times New Roman"/>
                <w:b/>
                <w:kern w:val="0"/>
                <w:sz w:val="18"/>
                <w:szCs w:val="18"/>
              </w:rPr>
            </w:pPr>
          </w:p>
        </w:tc>
      </w:tr>
      <w:tr w14:paraId="1EA5839A">
        <w:trPr>
          <w:jc w:val="center"/>
        </w:trPr>
        <w:tc>
          <w:tcPr>
            <w:tcW w:w="536" w:type="dxa"/>
            <w:vMerge w:val="continue"/>
            <w:noWrap w:val="0"/>
            <w:vAlign w:val="center"/>
          </w:tcPr>
          <w:p w14:paraId="6E7D5972">
            <w:pPr>
              <w:jc w:val="center"/>
              <w:rPr>
                <w:rFonts w:ascii="Times New Roman" w:hAnsi="Times New Roman"/>
                <w:kern w:val="0"/>
                <w:sz w:val="18"/>
                <w:szCs w:val="18"/>
              </w:rPr>
            </w:pPr>
          </w:p>
        </w:tc>
        <w:tc>
          <w:tcPr>
            <w:tcW w:w="1324" w:type="dxa"/>
            <w:vMerge w:val="continue"/>
            <w:noWrap w:val="0"/>
            <w:vAlign w:val="center"/>
          </w:tcPr>
          <w:p w14:paraId="54CB0951">
            <w:pPr>
              <w:overflowPunct w:val="0"/>
              <w:autoSpaceDE w:val="0"/>
              <w:autoSpaceDN w:val="0"/>
              <w:ind w:firstLine="360" w:firstLineChars="200"/>
              <w:rPr>
                <w:rFonts w:ascii="Times New Roman" w:hAnsi="Times New Roman"/>
                <w:b/>
                <w:kern w:val="0"/>
                <w:sz w:val="18"/>
                <w:szCs w:val="18"/>
              </w:rPr>
            </w:pPr>
          </w:p>
        </w:tc>
        <w:tc>
          <w:tcPr>
            <w:tcW w:w="794" w:type="dxa"/>
            <w:vMerge w:val="continue"/>
            <w:noWrap w:val="0"/>
            <w:vAlign w:val="center"/>
          </w:tcPr>
          <w:p w14:paraId="5B3110D2">
            <w:pPr>
              <w:overflowPunct w:val="0"/>
              <w:autoSpaceDE w:val="0"/>
              <w:autoSpaceDN w:val="0"/>
              <w:ind w:firstLine="360" w:firstLineChars="200"/>
              <w:rPr>
                <w:rFonts w:ascii="Times New Roman" w:hAnsi="Times New Roman"/>
                <w:b/>
                <w:kern w:val="0"/>
                <w:sz w:val="18"/>
                <w:szCs w:val="18"/>
              </w:rPr>
            </w:pPr>
          </w:p>
        </w:tc>
        <w:tc>
          <w:tcPr>
            <w:tcW w:w="872" w:type="dxa"/>
            <w:vMerge w:val="continue"/>
            <w:noWrap w:val="0"/>
            <w:vAlign w:val="center"/>
          </w:tcPr>
          <w:p w14:paraId="31C24D95">
            <w:pPr>
              <w:overflowPunct w:val="0"/>
              <w:autoSpaceDE w:val="0"/>
              <w:autoSpaceDN w:val="0"/>
              <w:rPr>
                <w:rFonts w:ascii="Times New Roman" w:hAnsi="Times New Roman"/>
                <w:b/>
                <w:kern w:val="0"/>
                <w:sz w:val="18"/>
                <w:szCs w:val="18"/>
              </w:rPr>
            </w:pPr>
          </w:p>
        </w:tc>
        <w:tc>
          <w:tcPr>
            <w:tcW w:w="1010" w:type="dxa"/>
            <w:vMerge w:val="continue"/>
            <w:noWrap w:val="0"/>
            <w:vAlign w:val="center"/>
          </w:tcPr>
          <w:p w14:paraId="378982A3">
            <w:pPr>
              <w:overflowPunct w:val="0"/>
              <w:autoSpaceDE w:val="0"/>
              <w:autoSpaceDN w:val="0"/>
              <w:spacing w:line="320" w:lineRule="exact"/>
              <w:jc w:val="center"/>
              <w:rPr>
                <w:rFonts w:ascii="Times New Roman" w:hAnsi="Times New Roman"/>
                <w:b/>
                <w:kern w:val="0"/>
                <w:sz w:val="18"/>
                <w:szCs w:val="18"/>
              </w:rPr>
            </w:pPr>
          </w:p>
        </w:tc>
        <w:tc>
          <w:tcPr>
            <w:tcW w:w="4922" w:type="dxa"/>
            <w:vMerge w:val="continue"/>
            <w:noWrap w:val="0"/>
            <w:vAlign w:val="center"/>
          </w:tcPr>
          <w:p w14:paraId="336E192B">
            <w:pPr>
              <w:ind w:firstLine="360" w:firstLineChars="200"/>
              <w:rPr>
                <w:rFonts w:ascii="Times New Roman" w:hAnsi="Times New Roman"/>
                <w:b/>
                <w:kern w:val="0"/>
                <w:sz w:val="18"/>
                <w:szCs w:val="18"/>
              </w:rPr>
            </w:pPr>
          </w:p>
        </w:tc>
        <w:tc>
          <w:tcPr>
            <w:tcW w:w="926" w:type="dxa"/>
            <w:vMerge w:val="continue"/>
            <w:noWrap w:val="0"/>
            <w:vAlign w:val="center"/>
          </w:tcPr>
          <w:p w14:paraId="51E0574D">
            <w:pPr>
              <w:rPr>
                <w:rFonts w:ascii="Times New Roman" w:hAnsi="Times New Roman"/>
                <w:b/>
                <w:kern w:val="0"/>
                <w:sz w:val="18"/>
                <w:szCs w:val="18"/>
              </w:rPr>
            </w:pPr>
          </w:p>
        </w:tc>
        <w:tc>
          <w:tcPr>
            <w:tcW w:w="1104" w:type="dxa"/>
            <w:vMerge w:val="continue"/>
            <w:noWrap w:val="0"/>
            <w:vAlign w:val="center"/>
          </w:tcPr>
          <w:p w14:paraId="0799FD53">
            <w:pPr>
              <w:rPr>
                <w:rFonts w:ascii="Times New Roman" w:hAnsi="Times New Roman"/>
                <w:b/>
                <w:kern w:val="0"/>
                <w:sz w:val="18"/>
                <w:szCs w:val="18"/>
              </w:rPr>
            </w:pPr>
          </w:p>
        </w:tc>
        <w:tc>
          <w:tcPr>
            <w:tcW w:w="1296" w:type="dxa"/>
            <w:shd w:val="clear" w:color="auto" w:fill="auto"/>
            <w:noWrap w:val="0"/>
            <w:vAlign w:val="top"/>
          </w:tcPr>
          <w:p w14:paraId="712FDBA9">
            <w:pPr>
              <w:jc w:val="both"/>
              <w:rPr>
                <w:rFonts w:hint="eastAsia"/>
                <w:kern w:val="0"/>
                <w:sz w:val="18"/>
                <w:szCs w:val="18"/>
                <w:lang w:val="en-US" w:eastAsia="zh-CN"/>
              </w:rPr>
            </w:pPr>
            <w:r>
              <w:rPr>
                <w:rFonts w:hint="eastAsia"/>
                <w:kern w:val="0"/>
                <w:sz w:val="18"/>
                <w:szCs w:val="18"/>
              </w:rPr>
              <w:t>320259058000</w:t>
            </w:r>
          </w:p>
        </w:tc>
        <w:tc>
          <w:tcPr>
            <w:tcW w:w="1282" w:type="dxa"/>
            <w:shd w:val="clear" w:color="auto" w:fill="auto"/>
            <w:noWrap w:val="0"/>
            <w:vAlign w:val="top"/>
          </w:tcPr>
          <w:p w14:paraId="0FBCE584">
            <w:pPr>
              <w:jc w:val="both"/>
              <w:rPr>
                <w:rFonts w:hint="eastAsia"/>
                <w:kern w:val="0"/>
                <w:sz w:val="18"/>
                <w:szCs w:val="18"/>
                <w:lang w:val="en-US" w:eastAsia="zh-CN"/>
              </w:rPr>
            </w:pPr>
            <w:r>
              <w:rPr>
                <w:rFonts w:hint="eastAsia"/>
                <w:kern w:val="0"/>
                <w:sz w:val="18"/>
                <w:szCs w:val="18"/>
              </w:rPr>
              <w:t>对粮食应急预案启动后，不按照国家要求承担应急任务，不服从国家的统一安排和调度的处罚</w:t>
            </w:r>
          </w:p>
        </w:tc>
        <w:tc>
          <w:tcPr>
            <w:tcW w:w="1016" w:type="dxa"/>
            <w:noWrap w:val="0"/>
            <w:vAlign w:val="center"/>
          </w:tcPr>
          <w:p w14:paraId="1A74229C">
            <w:pPr>
              <w:rPr>
                <w:rFonts w:ascii="Times New Roman" w:hAnsi="Times New Roman"/>
                <w:b/>
                <w:kern w:val="0"/>
                <w:sz w:val="18"/>
                <w:szCs w:val="18"/>
              </w:rPr>
            </w:pPr>
          </w:p>
        </w:tc>
      </w:tr>
      <w:tr w14:paraId="756A566F">
        <w:trPr>
          <w:jc w:val="center"/>
        </w:trPr>
        <w:tc>
          <w:tcPr>
            <w:tcW w:w="536" w:type="dxa"/>
            <w:vMerge w:val="continue"/>
            <w:noWrap w:val="0"/>
            <w:vAlign w:val="center"/>
          </w:tcPr>
          <w:p w14:paraId="45BA3028">
            <w:pPr>
              <w:jc w:val="center"/>
              <w:rPr>
                <w:rFonts w:ascii="Times New Roman" w:hAnsi="Times New Roman"/>
                <w:kern w:val="0"/>
                <w:sz w:val="18"/>
                <w:szCs w:val="18"/>
              </w:rPr>
            </w:pPr>
          </w:p>
        </w:tc>
        <w:tc>
          <w:tcPr>
            <w:tcW w:w="1324" w:type="dxa"/>
            <w:vMerge w:val="continue"/>
            <w:noWrap w:val="0"/>
            <w:vAlign w:val="center"/>
          </w:tcPr>
          <w:p w14:paraId="33E3E8B4">
            <w:pPr>
              <w:overflowPunct w:val="0"/>
              <w:autoSpaceDE w:val="0"/>
              <w:autoSpaceDN w:val="0"/>
              <w:ind w:firstLine="360" w:firstLineChars="200"/>
              <w:rPr>
                <w:rFonts w:ascii="Times New Roman" w:hAnsi="Times New Roman"/>
                <w:b/>
                <w:kern w:val="0"/>
                <w:sz w:val="18"/>
                <w:szCs w:val="18"/>
              </w:rPr>
            </w:pPr>
          </w:p>
        </w:tc>
        <w:tc>
          <w:tcPr>
            <w:tcW w:w="794" w:type="dxa"/>
            <w:vMerge w:val="continue"/>
            <w:noWrap w:val="0"/>
            <w:vAlign w:val="center"/>
          </w:tcPr>
          <w:p w14:paraId="61418689">
            <w:pPr>
              <w:overflowPunct w:val="0"/>
              <w:autoSpaceDE w:val="0"/>
              <w:autoSpaceDN w:val="0"/>
              <w:ind w:firstLine="360" w:firstLineChars="200"/>
              <w:rPr>
                <w:rFonts w:ascii="Times New Roman" w:hAnsi="Times New Roman"/>
                <w:b/>
                <w:kern w:val="0"/>
                <w:sz w:val="18"/>
                <w:szCs w:val="18"/>
              </w:rPr>
            </w:pPr>
          </w:p>
        </w:tc>
        <w:tc>
          <w:tcPr>
            <w:tcW w:w="872" w:type="dxa"/>
            <w:vMerge w:val="continue"/>
            <w:noWrap w:val="0"/>
            <w:vAlign w:val="center"/>
          </w:tcPr>
          <w:p w14:paraId="0868DA59">
            <w:pPr>
              <w:overflowPunct w:val="0"/>
              <w:autoSpaceDE w:val="0"/>
              <w:autoSpaceDN w:val="0"/>
              <w:rPr>
                <w:rFonts w:ascii="Times New Roman" w:hAnsi="Times New Roman"/>
                <w:b/>
                <w:kern w:val="0"/>
                <w:sz w:val="18"/>
                <w:szCs w:val="18"/>
              </w:rPr>
            </w:pPr>
          </w:p>
        </w:tc>
        <w:tc>
          <w:tcPr>
            <w:tcW w:w="1010" w:type="dxa"/>
            <w:vMerge w:val="continue"/>
            <w:noWrap w:val="0"/>
            <w:vAlign w:val="center"/>
          </w:tcPr>
          <w:p w14:paraId="42F291D2">
            <w:pPr>
              <w:overflowPunct w:val="0"/>
              <w:autoSpaceDE w:val="0"/>
              <w:autoSpaceDN w:val="0"/>
              <w:spacing w:line="320" w:lineRule="exact"/>
              <w:jc w:val="center"/>
              <w:rPr>
                <w:rFonts w:ascii="Times New Roman" w:hAnsi="Times New Roman"/>
                <w:b/>
                <w:kern w:val="0"/>
                <w:sz w:val="18"/>
                <w:szCs w:val="18"/>
              </w:rPr>
            </w:pPr>
          </w:p>
        </w:tc>
        <w:tc>
          <w:tcPr>
            <w:tcW w:w="4922" w:type="dxa"/>
            <w:vMerge w:val="continue"/>
            <w:noWrap w:val="0"/>
            <w:vAlign w:val="center"/>
          </w:tcPr>
          <w:p w14:paraId="1A15ABA4">
            <w:pPr>
              <w:ind w:firstLine="360" w:firstLineChars="200"/>
              <w:rPr>
                <w:rFonts w:ascii="Times New Roman" w:hAnsi="Times New Roman"/>
                <w:b/>
                <w:kern w:val="0"/>
                <w:sz w:val="18"/>
                <w:szCs w:val="18"/>
              </w:rPr>
            </w:pPr>
          </w:p>
        </w:tc>
        <w:tc>
          <w:tcPr>
            <w:tcW w:w="926" w:type="dxa"/>
            <w:vMerge w:val="continue"/>
            <w:noWrap w:val="0"/>
            <w:vAlign w:val="center"/>
          </w:tcPr>
          <w:p w14:paraId="28B9E7FA">
            <w:pPr>
              <w:rPr>
                <w:rFonts w:ascii="Times New Roman" w:hAnsi="Times New Roman"/>
                <w:b/>
                <w:kern w:val="0"/>
                <w:sz w:val="18"/>
                <w:szCs w:val="18"/>
              </w:rPr>
            </w:pPr>
          </w:p>
        </w:tc>
        <w:tc>
          <w:tcPr>
            <w:tcW w:w="1104" w:type="dxa"/>
            <w:vMerge w:val="continue"/>
            <w:noWrap w:val="0"/>
            <w:vAlign w:val="center"/>
          </w:tcPr>
          <w:p w14:paraId="45B9AEAF">
            <w:pPr>
              <w:rPr>
                <w:rFonts w:ascii="Times New Roman" w:hAnsi="Times New Roman"/>
                <w:b/>
                <w:kern w:val="0"/>
                <w:sz w:val="18"/>
                <w:szCs w:val="18"/>
              </w:rPr>
            </w:pPr>
          </w:p>
        </w:tc>
        <w:tc>
          <w:tcPr>
            <w:tcW w:w="1296" w:type="dxa"/>
            <w:shd w:val="clear" w:color="auto" w:fill="auto"/>
            <w:noWrap w:val="0"/>
            <w:vAlign w:val="top"/>
          </w:tcPr>
          <w:p w14:paraId="2636B8FF">
            <w:pPr>
              <w:jc w:val="both"/>
              <w:rPr>
                <w:rFonts w:hint="eastAsia"/>
                <w:kern w:val="0"/>
                <w:sz w:val="18"/>
                <w:szCs w:val="18"/>
                <w:lang w:val="en-US" w:eastAsia="zh-CN"/>
              </w:rPr>
            </w:pPr>
            <w:r>
              <w:rPr>
                <w:rFonts w:hint="eastAsia"/>
                <w:kern w:val="0"/>
                <w:sz w:val="18"/>
                <w:szCs w:val="18"/>
              </w:rPr>
              <w:t>320259046000</w:t>
            </w:r>
          </w:p>
        </w:tc>
        <w:tc>
          <w:tcPr>
            <w:tcW w:w="1282" w:type="dxa"/>
            <w:shd w:val="clear" w:color="auto" w:fill="auto"/>
            <w:noWrap w:val="0"/>
            <w:vAlign w:val="top"/>
          </w:tcPr>
          <w:p w14:paraId="26ED751B">
            <w:pPr>
              <w:jc w:val="both"/>
              <w:rPr>
                <w:rFonts w:hint="eastAsia"/>
                <w:kern w:val="0"/>
                <w:sz w:val="18"/>
                <w:szCs w:val="18"/>
                <w:lang w:val="en-US" w:eastAsia="zh-CN"/>
              </w:rPr>
            </w:pPr>
            <w:r>
              <w:rPr>
                <w:rFonts w:hint="eastAsia"/>
                <w:kern w:val="0"/>
                <w:sz w:val="18"/>
                <w:szCs w:val="18"/>
              </w:rPr>
              <w:t>对粮油仓储单位不具备储存条件的处罚</w:t>
            </w:r>
          </w:p>
        </w:tc>
        <w:tc>
          <w:tcPr>
            <w:tcW w:w="1016" w:type="dxa"/>
            <w:noWrap w:val="0"/>
            <w:vAlign w:val="center"/>
          </w:tcPr>
          <w:p w14:paraId="7A405C51">
            <w:pPr>
              <w:rPr>
                <w:rFonts w:ascii="Times New Roman" w:hAnsi="Times New Roman"/>
                <w:b/>
                <w:kern w:val="0"/>
                <w:sz w:val="18"/>
                <w:szCs w:val="18"/>
              </w:rPr>
            </w:pPr>
          </w:p>
        </w:tc>
      </w:tr>
      <w:tr w14:paraId="2C3156D3">
        <w:trPr>
          <w:jc w:val="center"/>
        </w:trPr>
        <w:tc>
          <w:tcPr>
            <w:tcW w:w="536" w:type="dxa"/>
            <w:vMerge w:val="continue"/>
            <w:noWrap w:val="0"/>
            <w:vAlign w:val="center"/>
          </w:tcPr>
          <w:p w14:paraId="71CFAC85">
            <w:pPr>
              <w:jc w:val="center"/>
              <w:rPr>
                <w:rFonts w:ascii="Times New Roman" w:hAnsi="Times New Roman"/>
                <w:kern w:val="0"/>
                <w:sz w:val="18"/>
                <w:szCs w:val="18"/>
              </w:rPr>
            </w:pPr>
          </w:p>
        </w:tc>
        <w:tc>
          <w:tcPr>
            <w:tcW w:w="1324" w:type="dxa"/>
            <w:vMerge w:val="continue"/>
            <w:noWrap w:val="0"/>
            <w:vAlign w:val="center"/>
          </w:tcPr>
          <w:p w14:paraId="6282F6BF">
            <w:pPr>
              <w:overflowPunct w:val="0"/>
              <w:autoSpaceDE w:val="0"/>
              <w:autoSpaceDN w:val="0"/>
              <w:ind w:firstLine="360" w:firstLineChars="200"/>
              <w:rPr>
                <w:rFonts w:ascii="Times New Roman" w:hAnsi="Times New Roman"/>
                <w:b/>
                <w:kern w:val="0"/>
                <w:sz w:val="18"/>
                <w:szCs w:val="18"/>
              </w:rPr>
            </w:pPr>
          </w:p>
        </w:tc>
        <w:tc>
          <w:tcPr>
            <w:tcW w:w="794" w:type="dxa"/>
            <w:vMerge w:val="continue"/>
            <w:noWrap w:val="0"/>
            <w:vAlign w:val="center"/>
          </w:tcPr>
          <w:p w14:paraId="504055DA">
            <w:pPr>
              <w:overflowPunct w:val="0"/>
              <w:autoSpaceDE w:val="0"/>
              <w:autoSpaceDN w:val="0"/>
              <w:ind w:firstLine="360" w:firstLineChars="200"/>
              <w:rPr>
                <w:rFonts w:ascii="Times New Roman" w:hAnsi="Times New Roman"/>
                <w:b/>
                <w:kern w:val="0"/>
                <w:sz w:val="18"/>
                <w:szCs w:val="18"/>
              </w:rPr>
            </w:pPr>
          </w:p>
        </w:tc>
        <w:tc>
          <w:tcPr>
            <w:tcW w:w="872" w:type="dxa"/>
            <w:vMerge w:val="continue"/>
            <w:noWrap w:val="0"/>
            <w:vAlign w:val="center"/>
          </w:tcPr>
          <w:p w14:paraId="709A21A0">
            <w:pPr>
              <w:overflowPunct w:val="0"/>
              <w:autoSpaceDE w:val="0"/>
              <w:autoSpaceDN w:val="0"/>
              <w:rPr>
                <w:rFonts w:ascii="Times New Roman" w:hAnsi="Times New Roman"/>
                <w:b/>
                <w:kern w:val="0"/>
                <w:sz w:val="18"/>
                <w:szCs w:val="18"/>
              </w:rPr>
            </w:pPr>
          </w:p>
        </w:tc>
        <w:tc>
          <w:tcPr>
            <w:tcW w:w="1010" w:type="dxa"/>
            <w:vMerge w:val="continue"/>
            <w:noWrap w:val="0"/>
            <w:vAlign w:val="center"/>
          </w:tcPr>
          <w:p w14:paraId="5CBC9CE0">
            <w:pPr>
              <w:overflowPunct w:val="0"/>
              <w:autoSpaceDE w:val="0"/>
              <w:autoSpaceDN w:val="0"/>
              <w:spacing w:line="320" w:lineRule="exact"/>
              <w:jc w:val="center"/>
              <w:rPr>
                <w:rFonts w:ascii="Times New Roman" w:hAnsi="Times New Roman"/>
                <w:b/>
                <w:kern w:val="0"/>
                <w:sz w:val="18"/>
                <w:szCs w:val="18"/>
              </w:rPr>
            </w:pPr>
          </w:p>
        </w:tc>
        <w:tc>
          <w:tcPr>
            <w:tcW w:w="4922" w:type="dxa"/>
            <w:vMerge w:val="continue"/>
            <w:noWrap w:val="0"/>
            <w:vAlign w:val="center"/>
          </w:tcPr>
          <w:p w14:paraId="393A650C">
            <w:pPr>
              <w:ind w:firstLine="360" w:firstLineChars="200"/>
              <w:rPr>
                <w:rFonts w:ascii="Times New Roman" w:hAnsi="Times New Roman"/>
                <w:b/>
                <w:kern w:val="0"/>
                <w:sz w:val="18"/>
                <w:szCs w:val="18"/>
              </w:rPr>
            </w:pPr>
          </w:p>
        </w:tc>
        <w:tc>
          <w:tcPr>
            <w:tcW w:w="926" w:type="dxa"/>
            <w:vMerge w:val="continue"/>
            <w:noWrap w:val="0"/>
            <w:vAlign w:val="center"/>
          </w:tcPr>
          <w:p w14:paraId="0A58E455">
            <w:pPr>
              <w:rPr>
                <w:rFonts w:ascii="Times New Roman" w:hAnsi="Times New Roman"/>
                <w:b/>
                <w:kern w:val="0"/>
                <w:sz w:val="18"/>
                <w:szCs w:val="18"/>
              </w:rPr>
            </w:pPr>
          </w:p>
        </w:tc>
        <w:tc>
          <w:tcPr>
            <w:tcW w:w="1104" w:type="dxa"/>
            <w:vMerge w:val="continue"/>
            <w:noWrap w:val="0"/>
            <w:vAlign w:val="center"/>
          </w:tcPr>
          <w:p w14:paraId="295FD92E">
            <w:pPr>
              <w:rPr>
                <w:rFonts w:ascii="Times New Roman" w:hAnsi="Times New Roman"/>
                <w:b/>
                <w:kern w:val="0"/>
                <w:sz w:val="18"/>
                <w:szCs w:val="18"/>
              </w:rPr>
            </w:pPr>
          </w:p>
        </w:tc>
        <w:tc>
          <w:tcPr>
            <w:tcW w:w="1296" w:type="dxa"/>
            <w:shd w:val="clear" w:color="auto" w:fill="auto"/>
            <w:noWrap w:val="0"/>
            <w:vAlign w:val="top"/>
          </w:tcPr>
          <w:p w14:paraId="7EB345FB">
            <w:pPr>
              <w:jc w:val="both"/>
              <w:rPr>
                <w:rFonts w:hint="eastAsia"/>
                <w:kern w:val="0"/>
                <w:sz w:val="18"/>
                <w:szCs w:val="18"/>
                <w:lang w:val="en-US" w:eastAsia="zh-CN"/>
              </w:rPr>
            </w:pPr>
            <w:r>
              <w:rPr>
                <w:rFonts w:hint="eastAsia"/>
                <w:kern w:val="0"/>
                <w:sz w:val="18"/>
                <w:szCs w:val="18"/>
              </w:rPr>
              <w:t>320259020000</w:t>
            </w:r>
          </w:p>
        </w:tc>
        <w:tc>
          <w:tcPr>
            <w:tcW w:w="1282" w:type="dxa"/>
            <w:shd w:val="clear" w:color="auto" w:fill="auto"/>
            <w:noWrap w:val="0"/>
            <w:vAlign w:val="top"/>
          </w:tcPr>
          <w:p w14:paraId="21C7F538">
            <w:pPr>
              <w:jc w:val="both"/>
              <w:rPr>
                <w:rFonts w:hint="eastAsia"/>
                <w:kern w:val="0"/>
                <w:sz w:val="18"/>
                <w:szCs w:val="18"/>
                <w:lang w:val="en-US" w:eastAsia="zh-CN"/>
              </w:rPr>
            </w:pPr>
            <w:r>
              <w:rPr>
                <w:rFonts w:hint="eastAsia"/>
                <w:kern w:val="0"/>
                <w:sz w:val="18"/>
                <w:szCs w:val="18"/>
              </w:rPr>
              <w:t>对粮油仓储单位未按规定备案的处罚</w:t>
            </w:r>
          </w:p>
        </w:tc>
        <w:tc>
          <w:tcPr>
            <w:tcW w:w="1016" w:type="dxa"/>
            <w:noWrap w:val="0"/>
            <w:vAlign w:val="center"/>
          </w:tcPr>
          <w:p w14:paraId="651A09A5">
            <w:pPr>
              <w:rPr>
                <w:rFonts w:ascii="Times New Roman" w:hAnsi="Times New Roman"/>
                <w:b/>
                <w:kern w:val="0"/>
                <w:sz w:val="18"/>
                <w:szCs w:val="18"/>
              </w:rPr>
            </w:pPr>
          </w:p>
        </w:tc>
      </w:tr>
      <w:tr w14:paraId="040B729A">
        <w:trPr>
          <w:jc w:val="center"/>
        </w:trPr>
        <w:tc>
          <w:tcPr>
            <w:tcW w:w="536" w:type="dxa"/>
            <w:vMerge w:val="continue"/>
            <w:noWrap w:val="0"/>
            <w:vAlign w:val="center"/>
          </w:tcPr>
          <w:p w14:paraId="49D3370B">
            <w:pPr>
              <w:jc w:val="center"/>
              <w:rPr>
                <w:rFonts w:ascii="Times New Roman" w:hAnsi="Times New Roman"/>
                <w:kern w:val="0"/>
                <w:sz w:val="18"/>
                <w:szCs w:val="18"/>
              </w:rPr>
            </w:pPr>
          </w:p>
        </w:tc>
        <w:tc>
          <w:tcPr>
            <w:tcW w:w="1324" w:type="dxa"/>
            <w:vMerge w:val="continue"/>
            <w:noWrap w:val="0"/>
            <w:vAlign w:val="center"/>
          </w:tcPr>
          <w:p w14:paraId="3B6FEBA2">
            <w:pPr>
              <w:overflowPunct w:val="0"/>
              <w:autoSpaceDE w:val="0"/>
              <w:autoSpaceDN w:val="0"/>
              <w:ind w:firstLine="360" w:firstLineChars="200"/>
              <w:rPr>
                <w:rFonts w:ascii="Times New Roman" w:hAnsi="Times New Roman"/>
                <w:b/>
                <w:kern w:val="0"/>
                <w:sz w:val="18"/>
                <w:szCs w:val="18"/>
              </w:rPr>
            </w:pPr>
          </w:p>
        </w:tc>
        <w:tc>
          <w:tcPr>
            <w:tcW w:w="794" w:type="dxa"/>
            <w:vMerge w:val="continue"/>
            <w:noWrap w:val="0"/>
            <w:vAlign w:val="center"/>
          </w:tcPr>
          <w:p w14:paraId="4EDFADAE">
            <w:pPr>
              <w:overflowPunct w:val="0"/>
              <w:autoSpaceDE w:val="0"/>
              <w:autoSpaceDN w:val="0"/>
              <w:ind w:firstLine="360" w:firstLineChars="200"/>
              <w:rPr>
                <w:rFonts w:ascii="Times New Roman" w:hAnsi="Times New Roman"/>
                <w:b/>
                <w:kern w:val="0"/>
                <w:sz w:val="18"/>
                <w:szCs w:val="18"/>
              </w:rPr>
            </w:pPr>
          </w:p>
        </w:tc>
        <w:tc>
          <w:tcPr>
            <w:tcW w:w="872" w:type="dxa"/>
            <w:vMerge w:val="continue"/>
            <w:noWrap w:val="0"/>
            <w:vAlign w:val="center"/>
          </w:tcPr>
          <w:p w14:paraId="6FAB3CD0">
            <w:pPr>
              <w:overflowPunct w:val="0"/>
              <w:autoSpaceDE w:val="0"/>
              <w:autoSpaceDN w:val="0"/>
              <w:rPr>
                <w:rFonts w:ascii="Times New Roman" w:hAnsi="Times New Roman"/>
                <w:b/>
                <w:kern w:val="0"/>
                <w:sz w:val="18"/>
                <w:szCs w:val="18"/>
              </w:rPr>
            </w:pPr>
          </w:p>
        </w:tc>
        <w:tc>
          <w:tcPr>
            <w:tcW w:w="1010" w:type="dxa"/>
            <w:vMerge w:val="continue"/>
            <w:shd w:val="clear" w:color="auto" w:fill="auto"/>
            <w:noWrap w:val="0"/>
            <w:vAlign w:val="center"/>
          </w:tcPr>
          <w:p w14:paraId="57828D83">
            <w:pPr>
              <w:overflowPunct w:val="0"/>
              <w:autoSpaceDE w:val="0"/>
              <w:autoSpaceDN w:val="0"/>
              <w:spacing w:line="320" w:lineRule="exact"/>
              <w:jc w:val="center"/>
              <w:rPr>
                <w:rFonts w:ascii="Times New Roman" w:hAnsi="Times New Roman" w:eastAsia="宋体" w:cs="Times New Roman"/>
                <w:b/>
                <w:kern w:val="0"/>
                <w:sz w:val="18"/>
                <w:szCs w:val="18"/>
                <w:lang w:val="en-US" w:eastAsia="zh-CN" w:bidi="ar-SA"/>
              </w:rPr>
            </w:pPr>
          </w:p>
        </w:tc>
        <w:tc>
          <w:tcPr>
            <w:tcW w:w="4922" w:type="dxa"/>
            <w:vMerge w:val="continue"/>
            <w:noWrap w:val="0"/>
            <w:vAlign w:val="center"/>
          </w:tcPr>
          <w:p w14:paraId="3D08D8A8">
            <w:pPr>
              <w:ind w:firstLine="360" w:firstLineChars="200"/>
              <w:rPr>
                <w:rFonts w:ascii="Times New Roman" w:hAnsi="Times New Roman"/>
                <w:b/>
                <w:kern w:val="0"/>
                <w:sz w:val="18"/>
                <w:szCs w:val="18"/>
              </w:rPr>
            </w:pPr>
          </w:p>
        </w:tc>
        <w:tc>
          <w:tcPr>
            <w:tcW w:w="926" w:type="dxa"/>
            <w:vMerge w:val="continue"/>
            <w:noWrap w:val="0"/>
            <w:vAlign w:val="center"/>
          </w:tcPr>
          <w:p w14:paraId="6EB1B3F4">
            <w:pPr>
              <w:rPr>
                <w:rFonts w:ascii="Times New Roman" w:hAnsi="Times New Roman"/>
                <w:b/>
                <w:kern w:val="0"/>
                <w:sz w:val="18"/>
                <w:szCs w:val="18"/>
              </w:rPr>
            </w:pPr>
          </w:p>
        </w:tc>
        <w:tc>
          <w:tcPr>
            <w:tcW w:w="1104" w:type="dxa"/>
            <w:vMerge w:val="continue"/>
            <w:noWrap w:val="0"/>
            <w:vAlign w:val="center"/>
          </w:tcPr>
          <w:p w14:paraId="14364BFE">
            <w:pPr>
              <w:rPr>
                <w:rFonts w:ascii="Times New Roman" w:hAnsi="Times New Roman"/>
                <w:b/>
                <w:kern w:val="0"/>
                <w:sz w:val="18"/>
                <w:szCs w:val="18"/>
              </w:rPr>
            </w:pPr>
          </w:p>
        </w:tc>
        <w:tc>
          <w:tcPr>
            <w:tcW w:w="1296" w:type="dxa"/>
            <w:shd w:val="clear" w:color="auto" w:fill="auto"/>
            <w:noWrap w:val="0"/>
            <w:vAlign w:val="top"/>
          </w:tcPr>
          <w:p w14:paraId="01B6A374">
            <w:pPr>
              <w:jc w:val="both"/>
              <w:rPr>
                <w:rFonts w:hint="eastAsia"/>
                <w:kern w:val="0"/>
                <w:sz w:val="18"/>
                <w:szCs w:val="18"/>
                <w:lang w:val="en-US" w:eastAsia="zh-CN"/>
              </w:rPr>
            </w:pPr>
            <w:r>
              <w:rPr>
                <w:rFonts w:hint="eastAsia"/>
                <w:kern w:val="0"/>
                <w:sz w:val="18"/>
                <w:szCs w:val="18"/>
              </w:rPr>
              <w:t>320259027000</w:t>
            </w:r>
          </w:p>
        </w:tc>
        <w:tc>
          <w:tcPr>
            <w:tcW w:w="1282" w:type="dxa"/>
            <w:shd w:val="clear" w:color="auto" w:fill="auto"/>
            <w:noWrap w:val="0"/>
            <w:vAlign w:val="top"/>
          </w:tcPr>
          <w:p w14:paraId="22B20167">
            <w:pPr>
              <w:jc w:val="both"/>
              <w:rPr>
                <w:rFonts w:hint="eastAsia"/>
                <w:kern w:val="0"/>
                <w:sz w:val="18"/>
                <w:szCs w:val="18"/>
                <w:lang w:val="en-US" w:eastAsia="zh-CN"/>
              </w:rPr>
            </w:pPr>
            <w:r>
              <w:rPr>
                <w:rFonts w:hint="eastAsia"/>
                <w:kern w:val="0"/>
                <w:sz w:val="18"/>
                <w:szCs w:val="18"/>
              </w:rPr>
              <w:t>对粮油仓储单位违反粮油出入库、储存管理等规定的处罚</w:t>
            </w:r>
          </w:p>
        </w:tc>
        <w:tc>
          <w:tcPr>
            <w:tcW w:w="1016" w:type="dxa"/>
            <w:noWrap w:val="0"/>
            <w:vAlign w:val="center"/>
          </w:tcPr>
          <w:p w14:paraId="5AD0CF4E">
            <w:pPr>
              <w:rPr>
                <w:rFonts w:ascii="Times New Roman" w:hAnsi="Times New Roman"/>
                <w:b/>
                <w:kern w:val="0"/>
                <w:sz w:val="18"/>
                <w:szCs w:val="18"/>
              </w:rPr>
            </w:pPr>
          </w:p>
        </w:tc>
      </w:tr>
      <w:tr w14:paraId="75D2B070">
        <w:trPr>
          <w:jc w:val="center"/>
        </w:trPr>
        <w:tc>
          <w:tcPr>
            <w:tcW w:w="536" w:type="dxa"/>
            <w:vMerge w:val="continue"/>
            <w:noWrap w:val="0"/>
            <w:vAlign w:val="center"/>
          </w:tcPr>
          <w:p w14:paraId="33D1A76B">
            <w:pPr>
              <w:jc w:val="center"/>
              <w:rPr>
                <w:rFonts w:ascii="Times New Roman" w:hAnsi="Times New Roman"/>
                <w:kern w:val="0"/>
                <w:sz w:val="18"/>
                <w:szCs w:val="18"/>
              </w:rPr>
            </w:pPr>
          </w:p>
        </w:tc>
        <w:tc>
          <w:tcPr>
            <w:tcW w:w="1324" w:type="dxa"/>
            <w:vMerge w:val="continue"/>
            <w:noWrap w:val="0"/>
            <w:vAlign w:val="center"/>
          </w:tcPr>
          <w:p w14:paraId="3FE810C0">
            <w:pPr>
              <w:overflowPunct w:val="0"/>
              <w:autoSpaceDE w:val="0"/>
              <w:autoSpaceDN w:val="0"/>
              <w:ind w:firstLine="360" w:firstLineChars="200"/>
              <w:rPr>
                <w:rFonts w:ascii="Times New Roman" w:hAnsi="Times New Roman"/>
                <w:b/>
                <w:kern w:val="0"/>
                <w:sz w:val="18"/>
                <w:szCs w:val="18"/>
              </w:rPr>
            </w:pPr>
          </w:p>
        </w:tc>
        <w:tc>
          <w:tcPr>
            <w:tcW w:w="794" w:type="dxa"/>
            <w:vMerge w:val="continue"/>
            <w:noWrap w:val="0"/>
            <w:vAlign w:val="center"/>
          </w:tcPr>
          <w:p w14:paraId="00776DE1">
            <w:pPr>
              <w:overflowPunct w:val="0"/>
              <w:autoSpaceDE w:val="0"/>
              <w:autoSpaceDN w:val="0"/>
              <w:ind w:firstLine="360" w:firstLineChars="200"/>
              <w:rPr>
                <w:rFonts w:ascii="Times New Roman" w:hAnsi="Times New Roman"/>
                <w:b/>
                <w:kern w:val="0"/>
                <w:sz w:val="18"/>
                <w:szCs w:val="18"/>
              </w:rPr>
            </w:pPr>
          </w:p>
        </w:tc>
        <w:tc>
          <w:tcPr>
            <w:tcW w:w="872" w:type="dxa"/>
            <w:vMerge w:val="continue"/>
            <w:noWrap w:val="0"/>
            <w:vAlign w:val="center"/>
          </w:tcPr>
          <w:p w14:paraId="62E278AE">
            <w:pPr>
              <w:overflowPunct w:val="0"/>
              <w:autoSpaceDE w:val="0"/>
              <w:autoSpaceDN w:val="0"/>
              <w:rPr>
                <w:rFonts w:ascii="Times New Roman" w:hAnsi="Times New Roman"/>
                <w:b/>
                <w:kern w:val="0"/>
                <w:sz w:val="18"/>
                <w:szCs w:val="18"/>
              </w:rPr>
            </w:pPr>
          </w:p>
        </w:tc>
        <w:tc>
          <w:tcPr>
            <w:tcW w:w="1010" w:type="dxa"/>
            <w:vMerge w:val="continue"/>
            <w:noWrap w:val="0"/>
            <w:vAlign w:val="center"/>
          </w:tcPr>
          <w:p w14:paraId="578F7B8A">
            <w:pPr>
              <w:overflowPunct w:val="0"/>
              <w:autoSpaceDE w:val="0"/>
              <w:autoSpaceDN w:val="0"/>
              <w:spacing w:line="320" w:lineRule="exact"/>
              <w:jc w:val="center"/>
              <w:rPr>
                <w:rFonts w:ascii="Times New Roman" w:hAnsi="Times New Roman"/>
                <w:b/>
                <w:kern w:val="0"/>
                <w:sz w:val="18"/>
                <w:szCs w:val="18"/>
              </w:rPr>
            </w:pPr>
          </w:p>
        </w:tc>
        <w:tc>
          <w:tcPr>
            <w:tcW w:w="4922" w:type="dxa"/>
            <w:vMerge w:val="continue"/>
            <w:noWrap w:val="0"/>
            <w:vAlign w:val="center"/>
          </w:tcPr>
          <w:p w14:paraId="55013226">
            <w:pPr>
              <w:ind w:firstLine="360" w:firstLineChars="200"/>
              <w:rPr>
                <w:rFonts w:ascii="Times New Roman" w:hAnsi="Times New Roman"/>
                <w:b/>
                <w:kern w:val="0"/>
                <w:sz w:val="18"/>
                <w:szCs w:val="18"/>
              </w:rPr>
            </w:pPr>
          </w:p>
        </w:tc>
        <w:tc>
          <w:tcPr>
            <w:tcW w:w="926" w:type="dxa"/>
            <w:vMerge w:val="continue"/>
            <w:noWrap w:val="0"/>
            <w:vAlign w:val="center"/>
          </w:tcPr>
          <w:p w14:paraId="4B5D9A41">
            <w:pPr>
              <w:rPr>
                <w:rFonts w:ascii="Times New Roman" w:hAnsi="Times New Roman"/>
                <w:b/>
                <w:kern w:val="0"/>
                <w:sz w:val="18"/>
                <w:szCs w:val="18"/>
              </w:rPr>
            </w:pPr>
          </w:p>
        </w:tc>
        <w:tc>
          <w:tcPr>
            <w:tcW w:w="1104" w:type="dxa"/>
            <w:vMerge w:val="continue"/>
            <w:noWrap w:val="0"/>
            <w:vAlign w:val="center"/>
          </w:tcPr>
          <w:p w14:paraId="26CC940B">
            <w:pPr>
              <w:rPr>
                <w:rFonts w:ascii="Times New Roman" w:hAnsi="Times New Roman"/>
                <w:b/>
                <w:kern w:val="0"/>
                <w:sz w:val="18"/>
                <w:szCs w:val="18"/>
              </w:rPr>
            </w:pPr>
          </w:p>
        </w:tc>
        <w:tc>
          <w:tcPr>
            <w:tcW w:w="1296" w:type="dxa"/>
            <w:shd w:val="clear" w:color="auto" w:fill="auto"/>
            <w:noWrap w:val="0"/>
            <w:vAlign w:val="top"/>
          </w:tcPr>
          <w:p w14:paraId="255093D8">
            <w:pPr>
              <w:jc w:val="both"/>
              <w:rPr>
                <w:rFonts w:hint="eastAsia"/>
                <w:kern w:val="0"/>
                <w:sz w:val="18"/>
                <w:szCs w:val="18"/>
                <w:lang w:val="en-US" w:eastAsia="zh-CN"/>
              </w:rPr>
            </w:pPr>
            <w:r>
              <w:rPr>
                <w:rFonts w:hint="eastAsia"/>
                <w:kern w:val="0"/>
                <w:sz w:val="18"/>
                <w:szCs w:val="18"/>
              </w:rPr>
              <w:t>320259047000</w:t>
            </w:r>
          </w:p>
        </w:tc>
        <w:tc>
          <w:tcPr>
            <w:tcW w:w="1282" w:type="dxa"/>
            <w:shd w:val="clear" w:color="auto" w:fill="auto"/>
            <w:noWrap w:val="0"/>
            <w:vAlign w:val="top"/>
          </w:tcPr>
          <w:p w14:paraId="092E541D">
            <w:pPr>
              <w:jc w:val="both"/>
              <w:rPr>
                <w:rFonts w:hint="eastAsia"/>
                <w:kern w:val="0"/>
                <w:sz w:val="18"/>
                <w:szCs w:val="18"/>
                <w:lang w:val="en-US" w:eastAsia="zh-CN"/>
              </w:rPr>
            </w:pPr>
            <w:r>
              <w:rPr>
                <w:rFonts w:hint="eastAsia"/>
                <w:kern w:val="0"/>
                <w:sz w:val="18"/>
                <w:szCs w:val="18"/>
              </w:rPr>
              <w:t>对粮油仓储单位擅自使用“国家储备粮”和“中央储备粮”等名称的处罚</w:t>
            </w:r>
          </w:p>
        </w:tc>
        <w:tc>
          <w:tcPr>
            <w:tcW w:w="1016" w:type="dxa"/>
            <w:noWrap w:val="0"/>
            <w:vAlign w:val="center"/>
          </w:tcPr>
          <w:p w14:paraId="1A0BD380">
            <w:pPr>
              <w:rPr>
                <w:rFonts w:ascii="Times New Roman" w:hAnsi="Times New Roman"/>
                <w:b/>
                <w:kern w:val="0"/>
                <w:sz w:val="18"/>
                <w:szCs w:val="18"/>
              </w:rPr>
            </w:pPr>
          </w:p>
        </w:tc>
      </w:tr>
    </w:tbl>
    <w:p w14:paraId="77130A1E">
      <w:pPr>
        <w:pStyle w:val="2"/>
        <w:rPr>
          <w:rFonts w:hint="eastAsia" w:eastAsia="仿宋_GB2312" w:cs="Times New Roman"/>
          <w:sz w:val="32"/>
          <w:szCs w:val="32"/>
          <w:lang w:val="en-US" w:eastAsia="zh-CN"/>
        </w:rPr>
      </w:pPr>
    </w:p>
    <w:sectPr>
      <w:pgSz w:w="16838" w:h="11906" w:orient="landscape"/>
      <w:pgMar w:top="1587" w:right="2041" w:bottom="1474" w:left="1984"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703060505090304"/>
    <w:charset w:val="86"/>
    <w:family w:val="roman"/>
    <w:pitch w:val="default"/>
    <w:sig w:usb0="E0000AFF" w:usb1="00007843" w:usb2="00000001" w:usb3="00000000" w:csb0="400001BF" w:csb1="DFF70000"/>
  </w:font>
  <w:font w:name="宋体">
    <w:altName w:val="汉仪书宋二KW"/>
    <w:panose1 w:val="02010600030101010101"/>
    <w:charset w:val="5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_GBK">
    <w:altName w:val="汉仪书宋二KW"/>
    <w:panose1 w:val="03000509000000000000"/>
    <w:charset w:val="86"/>
    <w:family w:val="auto"/>
    <w:pitch w:val="default"/>
    <w:sig w:usb0="00000000" w:usb1="00000000" w:usb2="00000000" w:usb3="00000000" w:csb0="00040000" w:csb1="00000000"/>
  </w:font>
  <w:font w:name="方正黑体_GBK">
    <w:altName w:val="汉仪中黑KW"/>
    <w:panose1 w:val="03000509000000000000"/>
    <w:charset w:val="86"/>
    <w:family w:val="script"/>
    <w:pitch w:val="default"/>
    <w:sig w:usb0="00000000" w:usb1="00000000" w:usb2="00000000" w:usb3="00000000" w:csb0="00040000" w:csb1="00000000"/>
  </w:font>
  <w:font w:name="方正小标宋简体">
    <w:altName w:val="汉仪书宋二KW"/>
    <w:panose1 w:val="03000509000000000000"/>
    <w:charset w:val="86"/>
    <w:family w:val="script"/>
    <w:pitch w:val="default"/>
    <w:sig w:usb0="00000000" w:usb1="00000000" w:usb2="00000000" w:usb3="00000000" w:csb0="00040000" w:csb1="00000000"/>
  </w:font>
  <w:font w:name="方正仿宋_GBK">
    <w:panose1 w:val="02000000000000000000"/>
    <w:charset w:val="86"/>
    <w:family w:val="script"/>
    <w:pitch w:val="default"/>
    <w:sig w:usb0="A00002BF" w:usb1="38CF7CFA" w:usb2="00082016" w:usb3="00000000" w:csb0="00040001"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BE1010">
    <w:pPr>
      <w:pStyle w:val="5"/>
      <w:jc w:val="center"/>
      <w:rPr>
        <w:rFonts w:ascii="宋体" w:hAnsi="宋体"/>
        <w:sz w:val="30"/>
        <w:szCs w:val="30"/>
      </w:rPr>
    </w:pPr>
    <w:r>
      <w:rPr>
        <w:sz w:val="3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5975E73">
                          <w:pPr>
                            <w:pStyle w:val="5"/>
                            <w:jc w:val="center"/>
                          </w:pPr>
                          <w:r>
                            <w:t>—</w:t>
                          </w: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2</w:t>
                          </w:r>
                          <w:r>
                            <w:rPr>
                              <w:sz w:val="24"/>
                              <w:szCs w:val="24"/>
                            </w:rPr>
                            <w:fldChar w:fldCharType="end"/>
                          </w:r>
                          <w:r>
                            <w:rPr>
                              <w:sz w:val="24"/>
                              <w:szCs w:val="24"/>
                            </w:rPr>
                            <w:t xml:space="preserve"> </w:t>
                          </w:r>
                          <w: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35975E73">
                    <w:pPr>
                      <w:pStyle w:val="5"/>
                      <w:jc w:val="center"/>
                    </w:pPr>
                    <w:r>
                      <w:t>—</w:t>
                    </w: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2</w:t>
                    </w:r>
                    <w:r>
                      <w:rPr>
                        <w:sz w:val="24"/>
                        <w:szCs w:val="24"/>
                      </w:rPr>
                      <w:fldChar w:fldCharType="end"/>
                    </w:r>
                    <w:r>
                      <w:rPr>
                        <w:sz w:val="24"/>
                        <w:szCs w:val="24"/>
                      </w:rPr>
                      <w:t xml:space="preserve"> </w:t>
                    </w:r>
                    <w:r>
                      <w:t>—</w:t>
                    </w:r>
                  </w:p>
                </w:txbxContent>
              </v:textbox>
            </v:shape>
          </w:pict>
        </mc:Fallback>
      </mc:AlternateContent>
    </w:r>
  </w:p>
  <w:p w14:paraId="21ED4B10">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F698EB"/>
    <w:multiLevelType w:val="singleLevel"/>
    <w:tmpl w:val="FEF698E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zOGI4ZGY0ZjI5NGM0NjM5OTFiZmJlMDFmZTcyNTQifQ=="/>
  </w:docVars>
  <w:rsids>
    <w:rsidRoot w:val="0280146B"/>
    <w:rsid w:val="019E515D"/>
    <w:rsid w:val="01EE4ADE"/>
    <w:rsid w:val="0280146B"/>
    <w:rsid w:val="032F7078"/>
    <w:rsid w:val="03824AAC"/>
    <w:rsid w:val="03D8291E"/>
    <w:rsid w:val="03DC1D72"/>
    <w:rsid w:val="04D238E4"/>
    <w:rsid w:val="04FD40AE"/>
    <w:rsid w:val="0664655E"/>
    <w:rsid w:val="096E196B"/>
    <w:rsid w:val="0B40190E"/>
    <w:rsid w:val="0C255C67"/>
    <w:rsid w:val="0DB20DDC"/>
    <w:rsid w:val="0E7D1D19"/>
    <w:rsid w:val="0F91672E"/>
    <w:rsid w:val="10C50298"/>
    <w:rsid w:val="11CB695F"/>
    <w:rsid w:val="13CA3A1F"/>
    <w:rsid w:val="14516684"/>
    <w:rsid w:val="15B4312D"/>
    <w:rsid w:val="15C37E00"/>
    <w:rsid w:val="161B25E6"/>
    <w:rsid w:val="191E2D11"/>
    <w:rsid w:val="1A307238"/>
    <w:rsid w:val="1ABA0CAA"/>
    <w:rsid w:val="1AE259D8"/>
    <w:rsid w:val="1B2915DB"/>
    <w:rsid w:val="1BAC5B71"/>
    <w:rsid w:val="1BEA278C"/>
    <w:rsid w:val="1CA473E9"/>
    <w:rsid w:val="1CD868D9"/>
    <w:rsid w:val="1D056F7A"/>
    <w:rsid w:val="1E3B5B2B"/>
    <w:rsid w:val="1E403142"/>
    <w:rsid w:val="1EC73863"/>
    <w:rsid w:val="1F9B1057"/>
    <w:rsid w:val="218D7AF0"/>
    <w:rsid w:val="224B455D"/>
    <w:rsid w:val="22E26EBD"/>
    <w:rsid w:val="255B6A81"/>
    <w:rsid w:val="261A071C"/>
    <w:rsid w:val="2B69017C"/>
    <w:rsid w:val="2B6E2AFC"/>
    <w:rsid w:val="2BA32F62"/>
    <w:rsid w:val="2C723060"/>
    <w:rsid w:val="2D040005"/>
    <w:rsid w:val="2E664158"/>
    <w:rsid w:val="2FAC243E"/>
    <w:rsid w:val="30764BE7"/>
    <w:rsid w:val="321374C0"/>
    <w:rsid w:val="32820A3F"/>
    <w:rsid w:val="32BA2E92"/>
    <w:rsid w:val="32CC3348"/>
    <w:rsid w:val="332A426D"/>
    <w:rsid w:val="33863895"/>
    <w:rsid w:val="33CD3272"/>
    <w:rsid w:val="35CB3533"/>
    <w:rsid w:val="36EE297C"/>
    <w:rsid w:val="38C5276A"/>
    <w:rsid w:val="395058E6"/>
    <w:rsid w:val="3E573E64"/>
    <w:rsid w:val="3FDB5A8E"/>
    <w:rsid w:val="407526A4"/>
    <w:rsid w:val="42311581"/>
    <w:rsid w:val="428D386D"/>
    <w:rsid w:val="42E3216A"/>
    <w:rsid w:val="43A65E1A"/>
    <w:rsid w:val="43C3550B"/>
    <w:rsid w:val="43E044CD"/>
    <w:rsid w:val="44216071"/>
    <w:rsid w:val="4497145E"/>
    <w:rsid w:val="474A6C5C"/>
    <w:rsid w:val="47CC0A5D"/>
    <w:rsid w:val="48A405ED"/>
    <w:rsid w:val="48D10CB7"/>
    <w:rsid w:val="49730220"/>
    <w:rsid w:val="49980099"/>
    <w:rsid w:val="4A092817"/>
    <w:rsid w:val="4A5E2A1E"/>
    <w:rsid w:val="4ACC6887"/>
    <w:rsid w:val="4BB85AD3"/>
    <w:rsid w:val="4BBB13B5"/>
    <w:rsid w:val="4DF23BA9"/>
    <w:rsid w:val="4EAB117C"/>
    <w:rsid w:val="4F251C07"/>
    <w:rsid w:val="503603FF"/>
    <w:rsid w:val="527E5A0B"/>
    <w:rsid w:val="54C00ABF"/>
    <w:rsid w:val="54E47D1B"/>
    <w:rsid w:val="56E07A2A"/>
    <w:rsid w:val="56F06E42"/>
    <w:rsid w:val="573C227B"/>
    <w:rsid w:val="57792C45"/>
    <w:rsid w:val="59D423B5"/>
    <w:rsid w:val="5B1E422F"/>
    <w:rsid w:val="5B461090"/>
    <w:rsid w:val="5BB53EFB"/>
    <w:rsid w:val="5D3513BC"/>
    <w:rsid w:val="5D5F4FC6"/>
    <w:rsid w:val="5E1105FB"/>
    <w:rsid w:val="5F076D88"/>
    <w:rsid w:val="5F090D52"/>
    <w:rsid w:val="5F5211B3"/>
    <w:rsid w:val="60CF38D6"/>
    <w:rsid w:val="61442516"/>
    <w:rsid w:val="61FF2CA6"/>
    <w:rsid w:val="62675CD8"/>
    <w:rsid w:val="64A61A2F"/>
    <w:rsid w:val="66292E88"/>
    <w:rsid w:val="67BC554A"/>
    <w:rsid w:val="68212C69"/>
    <w:rsid w:val="6831015A"/>
    <w:rsid w:val="6A256A32"/>
    <w:rsid w:val="6AEF52A0"/>
    <w:rsid w:val="6B160A7F"/>
    <w:rsid w:val="6CDA496E"/>
    <w:rsid w:val="6F541B76"/>
    <w:rsid w:val="70340726"/>
    <w:rsid w:val="723544F6"/>
    <w:rsid w:val="72591019"/>
    <w:rsid w:val="72600832"/>
    <w:rsid w:val="729E0BD7"/>
    <w:rsid w:val="72CA1AD7"/>
    <w:rsid w:val="72DD1E82"/>
    <w:rsid w:val="75DB13B2"/>
    <w:rsid w:val="75FF49AE"/>
    <w:rsid w:val="7626760E"/>
    <w:rsid w:val="78A316F6"/>
    <w:rsid w:val="78ED0F54"/>
    <w:rsid w:val="79E42D9A"/>
    <w:rsid w:val="7A483134"/>
    <w:rsid w:val="7B0F1047"/>
    <w:rsid w:val="7B3544FD"/>
    <w:rsid w:val="7B4038F6"/>
    <w:rsid w:val="7D6B154B"/>
    <w:rsid w:val="7E5D03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Body Text Indent"/>
    <w:basedOn w:val="1"/>
    <w:next w:val="4"/>
    <w:qFormat/>
    <w:uiPriority w:val="0"/>
    <w:pPr>
      <w:spacing w:line="300" w:lineRule="auto"/>
      <w:ind w:firstLine="560" w:firstLineChars="200"/>
      <w:jc w:val="left"/>
    </w:pPr>
    <w:rPr>
      <w:sz w:val="28"/>
    </w:rPr>
  </w:style>
  <w:style w:type="paragraph" w:styleId="4">
    <w:name w:val="envelope return"/>
    <w:basedOn w:val="1"/>
    <w:qFormat/>
    <w:uiPriority w:val="0"/>
    <w:pPr>
      <w:snapToGrid w:val="0"/>
    </w:pPr>
    <w:rPr>
      <w:rFonts w:ascii="Arial" w:hAnsi="Arial"/>
    </w:rPr>
  </w:style>
  <w:style w:type="paragraph" w:styleId="5">
    <w:name w:val="footer"/>
    <w:qFormat/>
    <w:uiPriority w:val="99"/>
    <w:pPr>
      <w:widowControl w:val="0"/>
      <w:tabs>
        <w:tab w:val="center" w:pos="4153"/>
        <w:tab w:val="right" w:pos="8306"/>
      </w:tabs>
      <w:snapToGrid w:val="0"/>
    </w:pPr>
    <w:rPr>
      <w:rFonts w:ascii="Times New Roman" w:hAnsi="Times New Roman" w:eastAsia="宋体" w:cs="Times New Roman"/>
      <w:kern w:val="2"/>
      <w:sz w:val="18"/>
      <w:szCs w:val="18"/>
      <w:lang w:val="en-US" w:eastAsia="zh-CN" w:bidi="ar-SA"/>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Title"/>
    <w:basedOn w:val="1"/>
    <w:next w:val="1"/>
    <w:qFormat/>
    <w:uiPriority w:val="10"/>
    <w:pPr>
      <w:jc w:val="left"/>
      <w:outlineLvl w:val="0"/>
    </w:pPr>
    <w:rPr>
      <w:rFonts w:ascii="Times New Roman" w:hAnsi="Times New Roman"/>
      <w:sz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3125</Words>
  <Characters>3295</Characters>
  <Lines>0</Lines>
  <Paragraphs>0</Paragraphs>
  <TotalTime>2</TotalTime>
  <ScaleCrop>false</ScaleCrop>
  <LinksUpToDate>false</LinksUpToDate>
  <CharactersWithSpaces>3324</CharactersWithSpaces>
  <Application>WPS Office_6.13.2.8918_F1E327BC-269C-435d-A152-05C5408002CA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2024-09-26T15:49:00Z</dcterms:created>
  <dc:creator>WPS_1504922637</dc:creator>
  <cp:lastModifiedBy>cnl</cp:lastModifiedBy>
  <cp:lastPrinted>2026-02-25T09:49:00Z</cp:lastPrinted>
  <dcterms:modified xsi:type="dcterms:W3CDTF">2026-03-20T16:39:21Z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2052-6.13.2.8918</vt:lpwstr>
  </property>
  <property fmtid="{D5CDD505-2E9C-101B-9397-08002B2CF9AE}" pid="3" name="ICV">
    <vt:lpwstr>329670C7EC1C45768F31C120468F02D8_13</vt:lpwstr>
  </property>
  <property fmtid="{D5CDD505-2E9C-101B-9397-08002B2CF9AE}" pid="4" name="KSOTemplateDocerSaveRecord">
    <vt:lpwstr>eyJoZGlkIjoiMTA4ODgyOTNkNWEyOWQ0ZDE4MDc3MWM5MGNiM2VhYTkiLCJ1c2VySWQiOiIxMTI0NTY5ODM4In0=</vt:lpwstr>
  </property>
</Properties>
</file>