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8E9750">
      <w:pPr>
        <w:widowControl w:val="0"/>
        <w:kinsoku/>
        <w:autoSpaceDE/>
        <w:autoSpaceDN/>
        <w:adjustRightInd/>
        <w:snapToGrid/>
        <w:spacing w:line="240" w:lineRule="atLeast"/>
        <w:ind w:left="420" w:firstLine="1280" w:firstLineChars="200"/>
        <w:jc w:val="both"/>
        <w:textAlignment w:val="auto"/>
        <w:rPr>
          <w:rFonts w:ascii="Times New Roman" w:hAnsi="Times New Roman" w:eastAsia="华文新魏" w:cs="Times New Roman"/>
          <w:snapToGrid/>
          <w:color w:val="000000" w:themeColor="text1"/>
          <w:kern w:val="2"/>
          <w:sz w:val="64"/>
          <w:szCs w:val="64"/>
          <w:highlight w:val="none"/>
          <w:lang w:eastAsia="zh-CN"/>
          <w14:textFill>
            <w14:solidFill>
              <w14:schemeClr w14:val="tx1"/>
            </w14:solidFill>
          </w14:textFill>
        </w:rPr>
      </w:pPr>
    </w:p>
    <w:p w14:paraId="564767A0">
      <w:pPr>
        <w:widowControl w:val="0"/>
        <w:spacing w:after="120" w:line="500" w:lineRule="exact"/>
        <w:ind w:firstLine="400" w:firstLineChars="200"/>
        <w:jc w:val="both"/>
        <w:rPr>
          <w:rFonts w:ascii="Times New Roman" w:hAnsi="Times New Roman" w:eastAsia="仿宋_GB2312" w:cs="Times New Roman"/>
          <w:color w:val="000000" w:themeColor="text1"/>
          <w:kern w:val="0"/>
          <w:sz w:val="20"/>
          <w:szCs w:val="24"/>
          <w:highlight w:val="none"/>
          <w:lang w:val="zh-CN" w:eastAsia="zh-CN" w:bidi="ar-SA"/>
          <w14:textFill>
            <w14:solidFill>
              <w14:schemeClr w14:val="tx1"/>
            </w14:solidFill>
          </w14:textFill>
        </w:rPr>
      </w:pPr>
    </w:p>
    <w:p w14:paraId="1799CB4F">
      <w:pPr>
        <w:widowControl w:val="0"/>
        <w:kinsoku/>
        <w:autoSpaceDE/>
        <w:autoSpaceDN/>
        <w:adjustRightInd/>
        <w:snapToGrid/>
        <w:spacing w:line="240" w:lineRule="atLeast"/>
        <w:ind w:firstLine="0" w:firstLineChars="0"/>
        <w:jc w:val="center"/>
        <w:textAlignment w:val="auto"/>
        <w:rPr>
          <w:rFonts w:hint="eastAsia" w:ascii="Times New Roman" w:hAnsi="Times New Roman" w:eastAsia="华文新魏" w:cs="Times New Roman"/>
          <w:snapToGrid/>
          <w:color w:val="000000" w:themeColor="text1"/>
          <w:kern w:val="2"/>
          <w:sz w:val="56"/>
          <w:szCs w:val="56"/>
          <w:highlight w:val="none"/>
          <w:lang w:eastAsia="zh-CN"/>
          <w14:textFill>
            <w14:solidFill>
              <w14:schemeClr w14:val="tx1"/>
            </w14:solidFill>
          </w14:textFill>
        </w:rPr>
      </w:pPr>
      <w:r>
        <w:rPr>
          <w:rFonts w:hint="eastAsia" w:ascii="Times New Roman" w:hAnsi="Times New Roman" w:eastAsia="华文新魏" w:cs="Times New Roman"/>
          <w:snapToGrid/>
          <w:color w:val="000000" w:themeColor="text1"/>
          <w:kern w:val="2"/>
          <w:sz w:val="56"/>
          <w:szCs w:val="56"/>
          <w:highlight w:val="none"/>
          <w:lang w:eastAsia="zh-CN"/>
          <w14:textFill>
            <w14:solidFill>
              <w14:schemeClr w14:val="tx1"/>
            </w14:solidFill>
          </w14:textFill>
        </w:rPr>
        <w:t>江苏省相城高新技术产业开发区</w:t>
      </w:r>
    </w:p>
    <w:p w14:paraId="26BE1ABF">
      <w:pPr>
        <w:widowControl w:val="0"/>
        <w:kinsoku/>
        <w:autoSpaceDE/>
        <w:autoSpaceDN/>
        <w:adjustRightInd/>
        <w:snapToGrid/>
        <w:spacing w:line="240" w:lineRule="atLeast"/>
        <w:ind w:firstLine="0" w:firstLineChars="0"/>
        <w:jc w:val="center"/>
        <w:textAlignment w:val="auto"/>
        <w:rPr>
          <w:rFonts w:ascii="Times New Roman" w:hAnsi="Times New Roman" w:eastAsia="华文新魏" w:cs="Times New Roman"/>
          <w:snapToGrid/>
          <w:color w:val="000000" w:themeColor="text1"/>
          <w:kern w:val="2"/>
          <w:sz w:val="56"/>
          <w:szCs w:val="56"/>
          <w:highlight w:val="none"/>
          <w:lang w:eastAsia="zh-CN"/>
          <w14:textFill>
            <w14:solidFill>
              <w14:schemeClr w14:val="tx1"/>
            </w14:solidFill>
          </w14:textFill>
        </w:rPr>
      </w:pPr>
      <w:r>
        <w:rPr>
          <w:rFonts w:hint="eastAsia" w:ascii="Times New Roman" w:hAnsi="Times New Roman" w:eastAsia="华文新魏" w:cs="Times New Roman"/>
          <w:snapToGrid/>
          <w:color w:val="000000" w:themeColor="text1"/>
          <w:kern w:val="2"/>
          <w:sz w:val="56"/>
          <w:szCs w:val="56"/>
          <w:highlight w:val="none"/>
          <w:lang w:eastAsia="zh-CN"/>
          <w14:textFill>
            <w14:solidFill>
              <w14:schemeClr w14:val="tx1"/>
            </w14:solidFill>
          </w14:textFill>
        </w:rPr>
        <w:t>开发建设规划（2025</w:t>
      </w:r>
      <w:r>
        <w:rPr>
          <w:rFonts w:hint="eastAsia" w:ascii="Times New Roman" w:hAnsi="Times New Roman" w:eastAsia="华文新魏" w:cs="Times New Roman"/>
          <w:snapToGrid/>
          <w:color w:val="000000" w:themeColor="text1"/>
          <w:kern w:val="2"/>
          <w:sz w:val="56"/>
          <w:szCs w:val="56"/>
          <w:highlight w:val="none"/>
          <w:lang w:val="en-US" w:eastAsia="zh-CN"/>
          <w14:textFill>
            <w14:solidFill>
              <w14:schemeClr w14:val="tx1"/>
            </w14:solidFill>
          </w14:textFill>
        </w:rPr>
        <w:t>—</w:t>
      </w:r>
      <w:r>
        <w:rPr>
          <w:rFonts w:hint="eastAsia" w:ascii="Times New Roman" w:hAnsi="Times New Roman" w:eastAsia="华文新魏" w:cs="Times New Roman"/>
          <w:snapToGrid/>
          <w:color w:val="000000" w:themeColor="text1"/>
          <w:kern w:val="2"/>
          <w:sz w:val="56"/>
          <w:szCs w:val="56"/>
          <w:highlight w:val="none"/>
          <w:lang w:eastAsia="zh-CN"/>
          <w14:textFill>
            <w14:solidFill>
              <w14:schemeClr w14:val="tx1"/>
            </w14:solidFill>
          </w14:textFill>
        </w:rPr>
        <w:t>2035）</w:t>
      </w:r>
    </w:p>
    <w:p w14:paraId="068B4004">
      <w:pPr>
        <w:widowControl w:val="0"/>
        <w:kinsoku/>
        <w:autoSpaceDE/>
        <w:autoSpaceDN/>
        <w:adjustRightInd/>
        <w:snapToGrid/>
        <w:spacing w:line="240" w:lineRule="atLeast"/>
        <w:ind w:left="0" w:leftChars="0" w:firstLine="0" w:firstLineChars="0"/>
        <w:jc w:val="center"/>
        <w:textAlignment w:val="auto"/>
        <w:rPr>
          <w:rFonts w:ascii="Times New Roman" w:hAnsi="Times New Roman" w:eastAsia="华文新魏" w:cs="Times New Roman"/>
          <w:snapToGrid/>
          <w:color w:val="000000" w:themeColor="text1"/>
          <w:kern w:val="2"/>
          <w:sz w:val="64"/>
          <w:szCs w:val="64"/>
          <w:highlight w:val="none"/>
          <w:lang w:eastAsia="zh-CN"/>
          <w14:textFill>
            <w14:solidFill>
              <w14:schemeClr w14:val="tx1"/>
            </w14:solidFill>
          </w14:textFill>
        </w:rPr>
      </w:pPr>
    </w:p>
    <w:p w14:paraId="6DD9D485">
      <w:pPr>
        <w:widowControl w:val="0"/>
        <w:kinsoku/>
        <w:autoSpaceDE/>
        <w:autoSpaceDN/>
        <w:adjustRightInd/>
        <w:snapToGrid/>
        <w:spacing w:line="240" w:lineRule="atLeast"/>
        <w:ind w:firstLine="0" w:firstLineChars="0"/>
        <w:jc w:val="center"/>
        <w:textAlignment w:val="auto"/>
        <w:outlineLvl w:val="0"/>
        <w:rPr>
          <w:rFonts w:ascii="Times New Roman" w:hAnsi="Times New Roman" w:eastAsia="华文新魏" w:cs="Times New Roman"/>
          <w:snapToGrid/>
          <w:color w:val="000000" w:themeColor="text1"/>
          <w:kern w:val="2"/>
          <w:sz w:val="72"/>
          <w:szCs w:val="72"/>
          <w:highlight w:val="none"/>
          <w:lang w:eastAsia="zh-CN"/>
          <w14:textFill>
            <w14:solidFill>
              <w14:schemeClr w14:val="tx1"/>
            </w14:solidFill>
          </w14:textFill>
        </w:rPr>
      </w:pPr>
      <w:bookmarkStart w:id="0" w:name="_Toc26395"/>
      <w:bookmarkStart w:id="1" w:name="_Toc20357"/>
      <w:bookmarkStart w:id="2" w:name="_Toc16921"/>
      <w:bookmarkStart w:id="3" w:name="_Toc14181"/>
      <w:bookmarkStart w:id="4" w:name="_Toc20807"/>
      <w:bookmarkStart w:id="5" w:name="_Toc5854"/>
      <w:bookmarkStart w:id="6" w:name="_Toc18326"/>
      <w:bookmarkStart w:id="7" w:name="_Toc23443"/>
      <w:bookmarkStart w:id="8" w:name="_Toc11253"/>
      <w:bookmarkStart w:id="9" w:name="_Toc1562"/>
      <w:r>
        <w:rPr>
          <w:rFonts w:ascii="Times New Roman" w:hAnsi="Times New Roman" w:eastAsia="华文新魏" w:cs="Times New Roman"/>
          <w:snapToGrid/>
          <w:color w:val="000000" w:themeColor="text1"/>
          <w:kern w:val="2"/>
          <w:sz w:val="72"/>
          <w:szCs w:val="72"/>
          <w:highlight w:val="none"/>
          <w:lang w:eastAsia="zh-CN"/>
          <w14:textFill>
            <w14:solidFill>
              <w14:schemeClr w14:val="tx1"/>
            </w14:solidFill>
          </w14:textFill>
        </w:rPr>
        <w:t>环境影响报告书</w:t>
      </w:r>
      <w:bookmarkEnd w:id="0"/>
      <w:bookmarkEnd w:id="1"/>
      <w:bookmarkEnd w:id="2"/>
      <w:bookmarkEnd w:id="3"/>
      <w:bookmarkEnd w:id="4"/>
      <w:bookmarkEnd w:id="5"/>
      <w:bookmarkEnd w:id="6"/>
      <w:bookmarkEnd w:id="7"/>
      <w:bookmarkEnd w:id="8"/>
      <w:bookmarkEnd w:id="9"/>
    </w:p>
    <w:p w14:paraId="732A7336">
      <w:pPr>
        <w:widowControl w:val="0"/>
        <w:kinsoku/>
        <w:autoSpaceDE/>
        <w:autoSpaceDN/>
        <w:adjustRightInd/>
        <w:snapToGrid/>
        <w:spacing w:line="240" w:lineRule="atLeast"/>
        <w:ind w:firstLine="0" w:firstLineChars="0"/>
        <w:jc w:val="center"/>
        <w:textAlignment w:val="auto"/>
        <w:rPr>
          <w:rFonts w:hint="eastAsia" w:ascii="Times New Roman" w:hAnsi="Times New Roman" w:eastAsia="华文新魏" w:cs="Times New Roman"/>
          <w:snapToGrid/>
          <w:color w:val="000000" w:themeColor="text1"/>
          <w:kern w:val="2"/>
          <w:sz w:val="60"/>
          <w:szCs w:val="60"/>
          <w:highlight w:val="none"/>
          <w:lang w:eastAsia="zh-CN"/>
          <w14:textFill>
            <w14:solidFill>
              <w14:schemeClr w14:val="tx1"/>
            </w14:solidFill>
          </w14:textFill>
        </w:rPr>
      </w:pPr>
      <w:r>
        <w:rPr>
          <w:rFonts w:hint="eastAsia" w:ascii="Times New Roman" w:hAnsi="Times New Roman" w:eastAsia="华文新魏" w:cs="Times New Roman"/>
          <w:snapToGrid/>
          <w:color w:val="000000" w:themeColor="text1"/>
          <w:kern w:val="2"/>
          <w:sz w:val="60"/>
          <w:szCs w:val="60"/>
          <w:highlight w:val="none"/>
          <w:lang w:eastAsia="zh-CN"/>
          <w14:textFill>
            <w14:solidFill>
              <w14:schemeClr w14:val="tx1"/>
            </w14:solidFill>
          </w14:textFill>
        </w:rPr>
        <w:t>（</w:t>
      </w:r>
      <w:r>
        <w:rPr>
          <w:rFonts w:hint="eastAsia" w:ascii="Times New Roman" w:hAnsi="Times New Roman" w:eastAsia="华文新魏" w:cs="Times New Roman"/>
          <w:snapToGrid/>
          <w:color w:val="000000" w:themeColor="text1"/>
          <w:kern w:val="2"/>
          <w:sz w:val="60"/>
          <w:szCs w:val="60"/>
          <w:highlight w:val="none"/>
          <w:lang w:val="en-US" w:eastAsia="zh-CN"/>
          <w14:textFill>
            <w14:solidFill>
              <w14:schemeClr w14:val="tx1"/>
            </w14:solidFill>
          </w14:textFill>
        </w:rPr>
        <w:t>征求意见稿</w:t>
      </w:r>
      <w:r>
        <w:rPr>
          <w:rFonts w:hint="eastAsia" w:ascii="Times New Roman" w:hAnsi="Times New Roman" w:eastAsia="华文新魏" w:cs="Times New Roman"/>
          <w:snapToGrid/>
          <w:color w:val="000000" w:themeColor="text1"/>
          <w:kern w:val="2"/>
          <w:sz w:val="60"/>
          <w:szCs w:val="60"/>
          <w:highlight w:val="none"/>
          <w:lang w:eastAsia="zh-CN"/>
          <w14:textFill>
            <w14:solidFill>
              <w14:schemeClr w14:val="tx1"/>
            </w14:solidFill>
          </w14:textFill>
        </w:rPr>
        <w:t>）</w:t>
      </w:r>
    </w:p>
    <w:p w14:paraId="6BF7F8C8">
      <w:pPr>
        <w:widowControl w:val="0"/>
        <w:kinsoku/>
        <w:autoSpaceDE/>
        <w:autoSpaceDN/>
        <w:adjustRightInd/>
        <w:snapToGrid/>
        <w:spacing w:line="240" w:lineRule="atLeas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p>
    <w:p w14:paraId="57C0DA9F">
      <w:pPr>
        <w:widowControl w:val="0"/>
        <w:kinsoku/>
        <w:autoSpaceDE/>
        <w:autoSpaceDN/>
        <w:adjustRightInd/>
        <w:snapToGrid/>
        <w:spacing w:line="240" w:lineRule="atLeast"/>
        <w:ind w:firstLine="0" w:firstLineChars="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p>
    <w:p w14:paraId="265F50C8">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p>
    <w:p w14:paraId="6DEF7BCD">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p>
    <w:p w14:paraId="2E8FE1FB">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p>
    <w:p w14:paraId="147C34C2">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p>
    <w:p w14:paraId="221C37AB">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p>
    <w:p w14:paraId="6A3EBC9D">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p>
    <w:p w14:paraId="76ACA961">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p>
    <w:p w14:paraId="10529251">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p>
    <w:p w14:paraId="78BBE253">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p>
    <w:p w14:paraId="6CA0E96F">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p>
    <w:p w14:paraId="45F85D41">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p>
    <w:p w14:paraId="6B79FEBB">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p>
    <w:p w14:paraId="20D50D9A">
      <w:pPr>
        <w:widowControl w:val="0"/>
        <w:kinsoku/>
        <w:autoSpaceDE/>
        <w:autoSpaceDN/>
        <w:adjustRightInd/>
        <w:snapToGrid/>
        <w:spacing w:line="500" w:lineRule="exact"/>
        <w:ind w:firstLine="0" w:firstLineChars="0"/>
        <w:jc w:val="center"/>
        <w:textAlignment w:val="auto"/>
        <w:rPr>
          <w:rFonts w:hint="eastAsia" w:ascii="华文新魏" w:hAnsi="华文新魏" w:eastAsia="华文新魏" w:cs="华文新魏"/>
          <w:snapToGrid/>
          <w:color w:val="000000" w:themeColor="text1"/>
          <w:kern w:val="2"/>
          <w:sz w:val="32"/>
          <w:szCs w:val="32"/>
          <w:highlight w:val="none"/>
          <w:lang w:eastAsia="zh-CN"/>
          <w14:textFill>
            <w14:solidFill>
              <w14:schemeClr w14:val="tx1"/>
            </w14:solidFill>
          </w14:textFill>
        </w:rPr>
      </w:pPr>
      <w:r>
        <w:rPr>
          <w:rFonts w:hint="eastAsia" w:ascii="华文新魏" w:hAnsi="华文新魏" w:eastAsia="华文新魏" w:cs="华文新魏"/>
          <w:snapToGrid/>
          <w:color w:val="000000" w:themeColor="text1"/>
          <w:kern w:val="2"/>
          <w:sz w:val="32"/>
          <w:szCs w:val="32"/>
          <w:highlight w:val="none"/>
          <w:lang w:eastAsia="zh-CN"/>
          <w14:textFill>
            <w14:solidFill>
              <w14:schemeClr w14:val="tx1"/>
            </w14:solidFill>
          </w14:textFill>
        </w:rPr>
        <w:t>规划实施单位：江苏省相城高新技术产业开发区管理委员会</w:t>
      </w:r>
    </w:p>
    <w:p w14:paraId="6973C10F">
      <w:pPr>
        <w:widowControl w:val="0"/>
        <w:kinsoku/>
        <w:autoSpaceDE/>
        <w:autoSpaceDN/>
        <w:adjustRightInd/>
        <w:snapToGrid/>
        <w:spacing w:line="500" w:lineRule="exact"/>
        <w:ind w:firstLine="0" w:firstLineChars="0"/>
        <w:jc w:val="center"/>
        <w:textAlignment w:val="auto"/>
        <w:rPr>
          <w:rFonts w:hint="eastAsia" w:ascii="华文新魏" w:hAnsi="华文新魏" w:eastAsia="华文新魏" w:cs="华文新魏"/>
          <w:snapToGrid/>
          <w:color w:val="000000" w:themeColor="text1"/>
          <w:kern w:val="2"/>
          <w:sz w:val="32"/>
          <w:szCs w:val="32"/>
          <w:highlight w:val="none"/>
          <w:lang w:eastAsia="zh-CN"/>
          <w14:textFill>
            <w14:solidFill>
              <w14:schemeClr w14:val="tx1"/>
            </w14:solidFill>
          </w14:textFill>
        </w:rPr>
      </w:pPr>
      <w:r>
        <w:rPr>
          <w:rFonts w:hint="eastAsia" w:ascii="华文新魏" w:hAnsi="华文新魏" w:eastAsia="华文新魏" w:cs="华文新魏"/>
          <w:snapToGrid/>
          <w:color w:val="000000" w:themeColor="text1"/>
          <w:kern w:val="2"/>
          <w:sz w:val="32"/>
          <w:szCs w:val="32"/>
          <w:highlight w:val="none"/>
          <w:lang w:eastAsia="zh-CN"/>
          <w14:textFill>
            <w14:solidFill>
              <w14:schemeClr w14:val="tx1"/>
            </w14:solidFill>
          </w14:textFill>
        </w:rPr>
        <w:t>编制单位：苏州相润环境科技有限公司</w:t>
      </w:r>
    </w:p>
    <w:p w14:paraId="6E537F3E">
      <w:pPr>
        <w:spacing w:before="300" w:line="216" w:lineRule="auto"/>
        <w:ind w:left="3368"/>
        <w:rPr>
          <w:rFonts w:ascii="FangSong_GB2312" w:hAnsi="FangSong_GB2312" w:eastAsia="FangSong_GB2312" w:cs="FangSong_GB2312"/>
          <w:sz w:val="28"/>
          <w:szCs w:val="28"/>
        </w:rPr>
      </w:pPr>
      <w:r>
        <w:rPr>
          <w:rFonts w:hint="eastAsia" w:ascii="华文新魏" w:hAnsi="华文新魏" w:eastAsia="华文新魏" w:cs="华文新魏"/>
          <w:snapToGrid/>
          <w:color w:val="000000" w:themeColor="text1"/>
          <w:kern w:val="2"/>
          <w:sz w:val="32"/>
          <w:szCs w:val="32"/>
          <w:highlight w:val="none"/>
          <w:lang w:eastAsia="zh-CN"/>
          <w14:textFill>
            <w14:solidFill>
              <w14:schemeClr w14:val="tx1"/>
            </w14:solidFill>
          </w14:textFill>
        </w:rPr>
        <w:t>二〇二</w:t>
      </w:r>
      <w:r>
        <w:rPr>
          <w:rFonts w:hint="eastAsia" w:ascii="华文新魏" w:hAnsi="华文新魏" w:eastAsia="华文新魏" w:cs="华文新魏"/>
          <w:snapToGrid/>
          <w:color w:val="000000" w:themeColor="text1"/>
          <w:kern w:val="2"/>
          <w:sz w:val="32"/>
          <w:szCs w:val="32"/>
          <w:highlight w:val="none"/>
          <w:lang w:val="en-US" w:eastAsia="zh-CN"/>
          <w14:textFill>
            <w14:solidFill>
              <w14:schemeClr w14:val="tx1"/>
            </w14:solidFill>
          </w14:textFill>
        </w:rPr>
        <w:t>五</w:t>
      </w:r>
      <w:r>
        <w:rPr>
          <w:rFonts w:hint="eastAsia" w:ascii="华文新魏" w:hAnsi="华文新魏" w:eastAsia="华文新魏" w:cs="华文新魏"/>
          <w:snapToGrid/>
          <w:color w:val="000000" w:themeColor="text1"/>
          <w:kern w:val="2"/>
          <w:sz w:val="32"/>
          <w:szCs w:val="32"/>
          <w:highlight w:val="none"/>
          <w:lang w:eastAsia="zh-CN"/>
          <w14:textFill>
            <w14:solidFill>
              <w14:schemeClr w14:val="tx1"/>
            </w14:solidFill>
          </w14:textFill>
        </w:rPr>
        <w:t>年</w:t>
      </w:r>
      <w:r>
        <w:rPr>
          <w:rFonts w:hint="eastAsia" w:ascii="华文新魏" w:hAnsi="华文新魏" w:eastAsia="华文新魏" w:cs="华文新魏"/>
          <w:snapToGrid/>
          <w:color w:val="000000" w:themeColor="text1"/>
          <w:kern w:val="2"/>
          <w:sz w:val="32"/>
          <w:szCs w:val="32"/>
          <w:highlight w:val="none"/>
          <w:lang w:val="en-US" w:eastAsia="zh-CN"/>
          <w14:textFill>
            <w14:solidFill>
              <w14:schemeClr w14:val="tx1"/>
            </w14:solidFill>
          </w14:textFill>
        </w:rPr>
        <w:t>十</w:t>
      </w:r>
      <w:r>
        <w:rPr>
          <w:rFonts w:hint="eastAsia" w:ascii="华文新魏" w:hAnsi="华文新魏" w:eastAsia="华文新魏" w:cs="华文新魏"/>
          <w:snapToGrid/>
          <w:color w:val="000000" w:themeColor="text1"/>
          <w:kern w:val="2"/>
          <w:sz w:val="32"/>
          <w:szCs w:val="32"/>
          <w:highlight w:val="none"/>
          <w:lang w:eastAsia="zh-CN"/>
          <w14:textFill>
            <w14:solidFill>
              <w14:schemeClr w14:val="tx1"/>
            </w14:solidFill>
          </w14:textFill>
        </w:rPr>
        <w:t>月</w:t>
      </w:r>
    </w:p>
    <w:p w14:paraId="664E4047">
      <w:pPr>
        <w:spacing w:line="216" w:lineRule="auto"/>
        <w:rPr>
          <w:rFonts w:ascii="FangSong_GB2312" w:hAnsi="FangSong_GB2312" w:eastAsia="FangSong_GB2312" w:cs="FangSong_GB2312"/>
          <w:sz w:val="28"/>
          <w:szCs w:val="28"/>
        </w:rPr>
        <w:sectPr>
          <w:pgSz w:w="11906" w:h="16839"/>
          <w:pgMar w:top="1440" w:right="1287" w:bottom="1440" w:left="1440" w:header="0" w:footer="0" w:gutter="0"/>
          <w:pgNumType w:fmt="decimal"/>
          <w:cols w:space="720" w:num="1"/>
        </w:sectPr>
      </w:pPr>
    </w:p>
    <w:sdt>
      <w:sdtPr>
        <w:rPr>
          <w:rFonts w:ascii="宋体" w:hAnsi="宋体" w:eastAsia="宋体" w:cs="Arial"/>
          <w:snapToGrid w:val="0"/>
          <w:color w:val="000000"/>
          <w:kern w:val="0"/>
          <w:sz w:val="21"/>
          <w:szCs w:val="21"/>
          <w:lang w:val="en-US" w:eastAsia="en-US" w:bidi="ar-SA"/>
        </w:rPr>
        <w:id w:val="147478348"/>
        <w15:color w:val="DBDBDB"/>
        <w:docPartObj>
          <w:docPartGallery w:val="Table of Contents"/>
          <w:docPartUnique/>
        </w:docPartObj>
      </w:sdtPr>
      <w:sdtEndPr>
        <w:rPr>
          <w:rFonts w:ascii="Times New Roman" w:hAnsi="Times New Roman" w:eastAsia="Times New Roman" w:cs="Times New Roman"/>
          <w:snapToGrid w:val="0"/>
          <w:color w:val="000000"/>
          <w:kern w:val="0"/>
          <w:sz w:val="21"/>
          <w:szCs w:val="24"/>
          <w:lang w:val="en-US" w:eastAsia="en-US" w:bidi="ar-SA"/>
        </w:rPr>
      </w:sdtEndPr>
      <w:sdtContent>
        <w:p w14:paraId="1EEB9773">
          <w:pPr>
            <w:spacing w:before="0" w:beforeLines="0" w:after="0" w:afterLines="0" w:line="240" w:lineRule="auto"/>
            <w:ind w:left="0" w:leftChars="0" w:right="0" w:rightChars="0" w:firstLine="0" w:firstLineChars="0"/>
            <w:jc w:val="center"/>
          </w:pPr>
          <w:r>
            <w:rPr>
              <w:rFonts w:ascii="宋体" w:hAnsi="宋体" w:eastAsia="宋体"/>
              <w:sz w:val="21"/>
            </w:rPr>
            <w:t>目录</w:t>
          </w:r>
        </w:p>
        <w:p w14:paraId="4E5299F3">
          <w:pPr>
            <w:pStyle w:val="12"/>
            <w:tabs>
              <w:tab w:val="right" w:leader="dot" w:pos="8336"/>
            </w:tabs>
            <w:rPr>
              <w:rFonts w:hint="default" w:ascii="Times New Roman" w:hAnsi="Times New Roman" w:cs="Times New Roman"/>
              <w:sz w:val="28"/>
              <w:szCs w:val="28"/>
            </w:rPr>
          </w:pPr>
          <w:r>
            <w:rPr>
              <w:rFonts w:hint="default" w:ascii="Times New Roman" w:hAnsi="Times New Roman" w:eastAsia="Times New Roman" w:cs="Times New Roman"/>
              <w:sz w:val="36"/>
              <w:szCs w:val="36"/>
            </w:rPr>
            <w:fldChar w:fldCharType="begin"/>
          </w:r>
          <w:r>
            <w:rPr>
              <w:rFonts w:hint="default" w:ascii="Times New Roman" w:hAnsi="Times New Roman" w:eastAsia="Times New Roman" w:cs="Times New Roman"/>
              <w:sz w:val="36"/>
              <w:szCs w:val="36"/>
            </w:rPr>
            <w:instrText xml:space="preserve">TOC \o "1-3" \h \u </w:instrText>
          </w:r>
          <w:r>
            <w:rPr>
              <w:rFonts w:hint="default" w:ascii="Times New Roman" w:hAnsi="Times New Roman" w:eastAsia="Times New Roman" w:cs="Times New Roman"/>
              <w:sz w:val="36"/>
              <w:szCs w:val="36"/>
            </w:rPr>
            <w:fldChar w:fldCharType="separate"/>
          </w:r>
          <w:r>
            <w:rPr>
              <w:rFonts w:hint="default" w:ascii="Times New Roman" w:hAnsi="Times New Roman" w:eastAsia="Times New Roman" w:cs="Times New Roman"/>
              <w:sz w:val="28"/>
              <w:szCs w:val="36"/>
            </w:rPr>
            <w:fldChar w:fldCharType="begin"/>
          </w:r>
          <w:r>
            <w:rPr>
              <w:rFonts w:hint="default" w:ascii="Times New Roman" w:hAnsi="Times New Roman" w:eastAsia="Times New Roman" w:cs="Times New Roman"/>
              <w:sz w:val="28"/>
              <w:szCs w:val="36"/>
            </w:rPr>
            <w:instrText xml:space="preserve"> HYPERLINK \l _Toc13676 </w:instrText>
          </w:r>
          <w:r>
            <w:rPr>
              <w:rFonts w:hint="default" w:ascii="Times New Roman" w:hAnsi="Times New Roman" w:eastAsia="Times New Roman" w:cs="Times New Roman"/>
              <w:sz w:val="28"/>
              <w:szCs w:val="36"/>
            </w:rPr>
            <w:fldChar w:fldCharType="separate"/>
          </w:r>
          <w:r>
            <w:rPr>
              <w:rFonts w:hint="default" w:ascii="Times New Roman" w:hAnsi="Times New Roman" w:eastAsia="仿宋_GB2312" w:cs="Times New Roman"/>
              <w:snapToGrid/>
              <w:sz w:val="28"/>
              <w:szCs w:val="32"/>
              <w:lang w:eastAsia="zh-CN"/>
            </w:rPr>
            <w:t xml:space="preserve">1. </w:t>
          </w:r>
          <w:r>
            <w:rPr>
              <w:rFonts w:hint="default" w:ascii="Times New Roman" w:hAnsi="Times New Roman" w:eastAsia="仿宋_GB2312" w:cs="Times New Roman"/>
              <w:snapToGrid/>
              <w:sz w:val="28"/>
              <w:szCs w:val="32"/>
              <w:highlight w:val="none"/>
              <w:lang w:eastAsia="zh-CN"/>
            </w:rPr>
            <w:t>任务由来及规划概述</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_Toc13676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eastAsia="Times New Roman" w:cs="Times New Roman"/>
              <w:sz w:val="28"/>
              <w:szCs w:val="36"/>
            </w:rPr>
            <w:fldChar w:fldCharType="end"/>
          </w:r>
        </w:p>
        <w:p w14:paraId="5EFB453A">
          <w:pPr>
            <w:pStyle w:val="13"/>
            <w:tabs>
              <w:tab w:val="right" w:leader="dot" w:pos="8336"/>
            </w:tabs>
            <w:rPr>
              <w:rFonts w:hint="default" w:ascii="Times New Roman" w:hAnsi="Times New Roman" w:cs="Times New Roman"/>
              <w:sz w:val="28"/>
              <w:szCs w:val="28"/>
            </w:rPr>
          </w:pPr>
          <w:r>
            <w:rPr>
              <w:rFonts w:hint="default" w:ascii="Times New Roman" w:hAnsi="Times New Roman" w:eastAsia="Times New Roman" w:cs="Times New Roman"/>
              <w:sz w:val="28"/>
              <w:szCs w:val="36"/>
            </w:rPr>
            <w:fldChar w:fldCharType="begin"/>
          </w:r>
          <w:r>
            <w:rPr>
              <w:rFonts w:hint="default" w:ascii="Times New Roman" w:hAnsi="Times New Roman" w:eastAsia="Times New Roman" w:cs="Times New Roman"/>
              <w:sz w:val="28"/>
              <w:szCs w:val="36"/>
            </w:rPr>
            <w:instrText xml:space="preserve"> HYPERLINK \l _Toc29960 </w:instrText>
          </w:r>
          <w:r>
            <w:rPr>
              <w:rFonts w:hint="default" w:ascii="Times New Roman" w:hAnsi="Times New Roman" w:eastAsia="Times New Roman" w:cs="Times New Roman"/>
              <w:sz w:val="28"/>
              <w:szCs w:val="36"/>
            </w:rPr>
            <w:fldChar w:fldCharType="separate"/>
          </w:r>
          <w:r>
            <w:rPr>
              <w:rFonts w:hint="default" w:ascii="Times New Roman" w:hAnsi="Times New Roman" w:eastAsia="仿宋_GB2312" w:cs="Times New Roman"/>
              <w:snapToGrid/>
              <w:kern w:val="2"/>
              <w:sz w:val="28"/>
              <w:szCs w:val="32"/>
              <w:lang w:eastAsia="zh-CN"/>
            </w:rPr>
            <w:t xml:space="preserve">1.1. </w:t>
          </w:r>
          <w:r>
            <w:rPr>
              <w:rFonts w:hint="default" w:ascii="Times New Roman" w:hAnsi="Times New Roman" w:eastAsia="仿宋_GB2312" w:cs="Times New Roman"/>
              <w:snapToGrid/>
              <w:kern w:val="2"/>
              <w:sz w:val="28"/>
              <w:szCs w:val="32"/>
              <w:highlight w:val="none"/>
              <w:lang w:eastAsia="zh-CN"/>
            </w:rPr>
            <w:t>任务由来</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_Toc29960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eastAsia="Times New Roman" w:cs="Times New Roman"/>
              <w:sz w:val="28"/>
              <w:szCs w:val="36"/>
            </w:rPr>
            <w:fldChar w:fldCharType="end"/>
          </w:r>
        </w:p>
        <w:p w14:paraId="46227156">
          <w:pPr>
            <w:pStyle w:val="13"/>
            <w:tabs>
              <w:tab w:val="right" w:leader="dot" w:pos="8336"/>
            </w:tabs>
            <w:rPr>
              <w:rFonts w:hint="default" w:ascii="Times New Roman" w:hAnsi="Times New Roman" w:cs="Times New Roman"/>
              <w:sz w:val="28"/>
              <w:szCs w:val="28"/>
            </w:rPr>
          </w:pPr>
          <w:r>
            <w:rPr>
              <w:rFonts w:hint="default" w:ascii="Times New Roman" w:hAnsi="Times New Roman" w:eastAsia="Times New Roman" w:cs="Times New Roman"/>
              <w:sz w:val="28"/>
              <w:szCs w:val="36"/>
            </w:rPr>
            <w:fldChar w:fldCharType="begin"/>
          </w:r>
          <w:r>
            <w:rPr>
              <w:rFonts w:hint="default" w:ascii="Times New Roman" w:hAnsi="Times New Roman" w:eastAsia="Times New Roman" w:cs="Times New Roman"/>
              <w:sz w:val="28"/>
              <w:szCs w:val="36"/>
            </w:rPr>
            <w:instrText xml:space="preserve"> HYPERLINK \l _Toc16877 </w:instrText>
          </w:r>
          <w:r>
            <w:rPr>
              <w:rFonts w:hint="default" w:ascii="Times New Roman" w:hAnsi="Times New Roman" w:eastAsia="Times New Roman" w:cs="Times New Roman"/>
              <w:sz w:val="28"/>
              <w:szCs w:val="36"/>
            </w:rPr>
            <w:fldChar w:fldCharType="separate"/>
          </w:r>
          <w:r>
            <w:rPr>
              <w:rFonts w:hint="default" w:ascii="Times New Roman" w:hAnsi="Times New Roman" w:eastAsia="仿宋_GB2312" w:cs="Times New Roman"/>
              <w:snapToGrid/>
              <w:kern w:val="2"/>
              <w:sz w:val="28"/>
              <w:szCs w:val="32"/>
              <w:lang w:eastAsia="zh-CN"/>
            </w:rPr>
            <w:t xml:space="preserve">1.2. </w:t>
          </w:r>
          <w:r>
            <w:rPr>
              <w:rFonts w:hint="default" w:ascii="Times New Roman" w:hAnsi="Times New Roman" w:eastAsia="仿宋_GB2312" w:cs="Times New Roman"/>
              <w:snapToGrid/>
              <w:kern w:val="2"/>
              <w:sz w:val="28"/>
              <w:szCs w:val="32"/>
              <w:highlight w:val="none"/>
              <w:lang w:eastAsia="zh-CN"/>
            </w:rPr>
            <w:t>规划范围和期限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_Toc16877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default" w:ascii="Times New Roman" w:hAnsi="Times New Roman" w:eastAsia="Times New Roman" w:cs="Times New Roman"/>
              <w:sz w:val="28"/>
              <w:szCs w:val="36"/>
            </w:rPr>
            <w:fldChar w:fldCharType="end"/>
          </w:r>
        </w:p>
        <w:p w14:paraId="75E3793C">
          <w:pPr>
            <w:pStyle w:val="13"/>
            <w:tabs>
              <w:tab w:val="right" w:leader="dot" w:pos="8336"/>
            </w:tabs>
            <w:rPr>
              <w:rFonts w:hint="default" w:ascii="Times New Roman" w:hAnsi="Times New Roman" w:cs="Times New Roman"/>
              <w:sz w:val="28"/>
              <w:szCs w:val="28"/>
            </w:rPr>
          </w:pPr>
          <w:r>
            <w:rPr>
              <w:rFonts w:hint="default" w:ascii="Times New Roman" w:hAnsi="Times New Roman" w:eastAsia="Times New Roman" w:cs="Times New Roman"/>
              <w:sz w:val="28"/>
              <w:szCs w:val="36"/>
            </w:rPr>
            <w:fldChar w:fldCharType="begin"/>
          </w:r>
          <w:r>
            <w:rPr>
              <w:rFonts w:hint="default" w:ascii="Times New Roman" w:hAnsi="Times New Roman" w:eastAsia="Times New Roman" w:cs="Times New Roman"/>
              <w:sz w:val="28"/>
              <w:szCs w:val="36"/>
            </w:rPr>
            <w:instrText xml:space="preserve"> HYPERLINK \l _Toc6850 </w:instrText>
          </w:r>
          <w:r>
            <w:rPr>
              <w:rFonts w:hint="default" w:ascii="Times New Roman" w:hAnsi="Times New Roman" w:eastAsia="Times New Roman" w:cs="Times New Roman"/>
              <w:sz w:val="28"/>
              <w:szCs w:val="36"/>
            </w:rPr>
            <w:fldChar w:fldCharType="separate"/>
          </w:r>
          <w:r>
            <w:rPr>
              <w:rFonts w:hint="default" w:ascii="Times New Roman" w:hAnsi="Times New Roman" w:eastAsia="仿宋_GB2312" w:cs="Times New Roman"/>
              <w:snapToGrid/>
              <w:kern w:val="2"/>
              <w:sz w:val="28"/>
              <w:szCs w:val="32"/>
              <w:lang w:eastAsia="zh-CN"/>
            </w:rPr>
            <w:t xml:space="preserve">1.3. </w:t>
          </w:r>
          <w:r>
            <w:rPr>
              <w:rFonts w:hint="default" w:ascii="Times New Roman" w:hAnsi="Times New Roman" w:eastAsia="仿宋_GB2312" w:cs="Times New Roman"/>
              <w:snapToGrid/>
              <w:kern w:val="2"/>
              <w:sz w:val="28"/>
              <w:szCs w:val="32"/>
              <w:highlight w:val="none"/>
              <w:lang w:eastAsia="zh-CN"/>
            </w:rPr>
            <w:t>发展目标</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_Toc6850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w:t>
          </w:r>
          <w:r>
            <w:rPr>
              <w:rFonts w:hint="default" w:ascii="Times New Roman" w:hAnsi="Times New Roman" w:cs="Times New Roman"/>
              <w:sz w:val="28"/>
              <w:szCs w:val="28"/>
            </w:rPr>
            <w:fldChar w:fldCharType="end"/>
          </w:r>
          <w:r>
            <w:rPr>
              <w:rFonts w:hint="default" w:ascii="Times New Roman" w:hAnsi="Times New Roman" w:eastAsia="Times New Roman" w:cs="Times New Roman"/>
              <w:sz w:val="28"/>
              <w:szCs w:val="36"/>
            </w:rPr>
            <w:fldChar w:fldCharType="end"/>
          </w:r>
        </w:p>
        <w:p w14:paraId="39AF2331">
          <w:pPr>
            <w:pStyle w:val="13"/>
            <w:tabs>
              <w:tab w:val="right" w:leader="dot" w:pos="8336"/>
            </w:tabs>
            <w:rPr>
              <w:rFonts w:hint="default" w:ascii="Times New Roman" w:hAnsi="Times New Roman" w:cs="Times New Roman"/>
              <w:sz w:val="28"/>
              <w:szCs w:val="28"/>
            </w:rPr>
          </w:pPr>
          <w:r>
            <w:rPr>
              <w:rFonts w:hint="default" w:ascii="Times New Roman" w:hAnsi="Times New Roman" w:eastAsia="Times New Roman" w:cs="Times New Roman"/>
              <w:sz w:val="28"/>
              <w:szCs w:val="36"/>
            </w:rPr>
            <w:fldChar w:fldCharType="begin"/>
          </w:r>
          <w:r>
            <w:rPr>
              <w:rFonts w:hint="default" w:ascii="Times New Roman" w:hAnsi="Times New Roman" w:eastAsia="Times New Roman" w:cs="Times New Roman"/>
              <w:sz w:val="28"/>
              <w:szCs w:val="36"/>
            </w:rPr>
            <w:instrText xml:space="preserve"> HYPERLINK \l _Toc27043 </w:instrText>
          </w:r>
          <w:r>
            <w:rPr>
              <w:rFonts w:hint="default" w:ascii="Times New Roman" w:hAnsi="Times New Roman" w:eastAsia="Times New Roman" w:cs="Times New Roman"/>
              <w:sz w:val="28"/>
              <w:szCs w:val="36"/>
            </w:rPr>
            <w:fldChar w:fldCharType="separate"/>
          </w:r>
          <w:r>
            <w:rPr>
              <w:rFonts w:hint="default" w:ascii="Times New Roman" w:hAnsi="Times New Roman" w:eastAsia="仿宋_GB2312" w:cs="Times New Roman"/>
              <w:snapToGrid/>
              <w:kern w:val="2"/>
              <w:sz w:val="28"/>
              <w:szCs w:val="32"/>
              <w:lang w:eastAsia="zh-CN"/>
            </w:rPr>
            <w:t xml:space="preserve">1.4. </w:t>
          </w:r>
          <w:r>
            <w:rPr>
              <w:rFonts w:hint="default" w:ascii="Times New Roman" w:hAnsi="Times New Roman" w:eastAsia="仿宋_GB2312" w:cs="Times New Roman"/>
              <w:snapToGrid/>
              <w:kern w:val="2"/>
              <w:sz w:val="28"/>
              <w:szCs w:val="32"/>
              <w:highlight w:val="none"/>
              <w:lang w:eastAsia="zh-CN"/>
            </w:rPr>
            <w:t>产业定位</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_Toc27043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3</w:t>
          </w:r>
          <w:r>
            <w:rPr>
              <w:rFonts w:hint="default" w:ascii="Times New Roman" w:hAnsi="Times New Roman" w:cs="Times New Roman"/>
              <w:sz w:val="28"/>
              <w:szCs w:val="28"/>
            </w:rPr>
            <w:fldChar w:fldCharType="end"/>
          </w:r>
          <w:r>
            <w:rPr>
              <w:rFonts w:hint="default" w:ascii="Times New Roman" w:hAnsi="Times New Roman" w:eastAsia="Times New Roman" w:cs="Times New Roman"/>
              <w:sz w:val="28"/>
              <w:szCs w:val="36"/>
            </w:rPr>
            <w:fldChar w:fldCharType="end"/>
          </w:r>
        </w:p>
        <w:p w14:paraId="0E14EA4A">
          <w:pPr>
            <w:pStyle w:val="13"/>
            <w:tabs>
              <w:tab w:val="right" w:leader="dot" w:pos="8336"/>
            </w:tabs>
            <w:rPr>
              <w:rFonts w:hint="default" w:ascii="Times New Roman" w:hAnsi="Times New Roman" w:cs="Times New Roman"/>
              <w:sz w:val="28"/>
              <w:szCs w:val="28"/>
            </w:rPr>
          </w:pPr>
          <w:r>
            <w:rPr>
              <w:rFonts w:hint="default" w:ascii="Times New Roman" w:hAnsi="Times New Roman" w:eastAsia="Times New Roman" w:cs="Times New Roman"/>
              <w:sz w:val="28"/>
              <w:szCs w:val="36"/>
            </w:rPr>
            <w:fldChar w:fldCharType="begin"/>
          </w:r>
          <w:r>
            <w:rPr>
              <w:rFonts w:hint="default" w:ascii="Times New Roman" w:hAnsi="Times New Roman" w:eastAsia="Times New Roman" w:cs="Times New Roman"/>
              <w:sz w:val="28"/>
              <w:szCs w:val="36"/>
            </w:rPr>
            <w:instrText xml:space="preserve"> HYPERLINK \l _Toc26897 </w:instrText>
          </w:r>
          <w:r>
            <w:rPr>
              <w:rFonts w:hint="default" w:ascii="Times New Roman" w:hAnsi="Times New Roman" w:eastAsia="Times New Roman" w:cs="Times New Roman"/>
              <w:sz w:val="28"/>
              <w:szCs w:val="36"/>
            </w:rPr>
            <w:fldChar w:fldCharType="separate"/>
          </w:r>
          <w:r>
            <w:rPr>
              <w:rFonts w:hint="default" w:ascii="Times New Roman" w:hAnsi="Times New Roman" w:eastAsia="仿宋_GB2312" w:cs="Times New Roman"/>
              <w:snapToGrid/>
              <w:kern w:val="2"/>
              <w:sz w:val="28"/>
              <w:szCs w:val="32"/>
              <w:lang w:eastAsia="zh-CN"/>
            </w:rPr>
            <w:t xml:space="preserve">1.5. </w:t>
          </w:r>
          <w:r>
            <w:rPr>
              <w:rFonts w:hint="default" w:ascii="Times New Roman" w:hAnsi="Times New Roman" w:eastAsia="仿宋_GB2312" w:cs="Times New Roman"/>
              <w:snapToGrid/>
              <w:kern w:val="2"/>
              <w:sz w:val="28"/>
              <w:szCs w:val="32"/>
              <w:highlight w:val="none"/>
              <w:lang w:eastAsia="zh-CN"/>
            </w:rPr>
            <w:t>基础设施规划</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_Toc26897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4</w:t>
          </w:r>
          <w:r>
            <w:rPr>
              <w:rFonts w:hint="default" w:ascii="Times New Roman" w:hAnsi="Times New Roman" w:cs="Times New Roman"/>
              <w:sz w:val="28"/>
              <w:szCs w:val="28"/>
            </w:rPr>
            <w:fldChar w:fldCharType="end"/>
          </w:r>
          <w:r>
            <w:rPr>
              <w:rFonts w:hint="default" w:ascii="Times New Roman" w:hAnsi="Times New Roman" w:eastAsia="Times New Roman" w:cs="Times New Roman"/>
              <w:sz w:val="28"/>
              <w:szCs w:val="36"/>
            </w:rPr>
            <w:fldChar w:fldCharType="end"/>
          </w:r>
        </w:p>
        <w:p w14:paraId="691D4F89">
          <w:pPr>
            <w:pStyle w:val="12"/>
            <w:tabs>
              <w:tab w:val="right" w:leader="dot" w:pos="8336"/>
            </w:tabs>
            <w:rPr>
              <w:rFonts w:hint="default" w:ascii="Times New Roman" w:hAnsi="Times New Roman" w:cs="Times New Roman"/>
              <w:sz w:val="28"/>
              <w:szCs w:val="28"/>
            </w:rPr>
          </w:pPr>
          <w:r>
            <w:rPr>
              <w:rFonts w:hint="default" w:ascii="Times New Roman" w:hAnsi="Times New Roman" w:eastAsia="Times New Roman" w:cs="Times New Roman"/>
              <w:sz w:val="28"/>
              <w:szCs w:val="36"/>
            </w:rPr>
            <w:fldChar w:fldCharType="begin"/>
          </w:r>
          <w:r>
            <w:rPr>
              <w:rFonts w:hint="default" w:ascii="Times New Roman" w:hAnsi="Times New Roman" w:eastAsia="Times New Roman" w:cs="Times New Roman"/>
              <w:sz w:val="28"/>
              <w:szCs w:val="36"/>
            </w:rPr>
            <w:instrText xml:space="preserve"> HYPERLINK \l _Toc11698 </w:instrText>
          </w:r>
          <w:r>
            <w:rPr>
              <w:rFonts w:hint="default" w:ascii="Times New Roman" w:hAnsi="Times New Roman" w:eastAsia="Times New Roman" w:cs="Times New Roman"/>
              <w:sz w:val="28"/>
              <w:szCs w:val="36"/>
            </w:rPr>
            <w:fldChar w:fldCharType="separate"/>
          </w:r>
          <w:r>
            <w:rPr>
              <w:rFonts w:hint="default" w:ascii="Times New Roman" w:hAnsi="Times New Roman" w:eastAsia="仿宋_GB2312" w:cs="Times New Roman"/>
              <w:snapToGrid/>
              <w:sz w:val="28"/>
              <w:szCs w:val="32"/>
              <w:lang w:eastAsia="zh-CN"/>
            </w:rPr>
            <w:t xml:space="preserve">2. </w:t>
          </w:r>
          <w:r>
            <w:rPr>
              <w:rFonts w:hint="default" w:ascii="Times New Roman" w:hAnsi="Times New Roman" w:eastAsia="仿宋_GB2312" w:cs="Times New Roman"/>
              <w:snapToGrid/>
              <w:sz w:val="28"/>
              <w:szCs w:val="32"/>
              <w:highlight w:val="none"/>
              <w:lang w:eastAsia="zh-CN"/>
            </w:rPr>
            <w:t>规划协调性分析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_Toc11698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9</w:t>
          </w:r>
          <w:r>
            <w:rPr>
              <w:rFonts w:hint="default" w:ascii="Times New Roman" w:hAnsi="Times New Roman" w:cs="Times New Roman"/>
              <w:sz w:val="28"/>
              <w:szCs w:val="28"/>
            </w:rPr>
            <w:fldChar w:fldCharType="end"/>
          </w:r>
          <w:r>
            <w:rPr>
              <w:rFonts w:hint="default" w:ascii="Times New Roman" w:hAnsi="Times New Roman" w:eastAsia="Times New Roman" w:cs="Times New Roman"/>
              <w:sz w:val="28"/>
              <w:szCs w:val="36"/>
            </w:rPr>
            <w:fldChar w:fldCharType="end"/>
          </w:r>
        </w:p>
        <w:p w14:paraId="26C3B3F0">
          <w:pPr>
            <w:pStyle w:val="13"/>
            <w:tabs>
              <w:tab w:val="right" w:leader="dot" w:pos="8336"/>
            </w:tabs>
            <w:rPr>
              <w:rFonts w:hint="default" w:ascii="Times New Roman" w:hAnsi="Times New Roman" w:cs="Times New Roman"/>
              <w:sz w:val="28"/>
              <w:szCs w:val="28"/>
            </w:rPr>
          </w:pPr>
          <w:r>
            <w:rPr>
              <w:rFonts w:hint="default" w:ascii="Times New Roman" w:hAnsi="Times New Roman" w:eastAsia="Times New Roman" w:cs="Times New Roman"/>
              <w:sz w:val="28"/>
              <w:szCs w:val="36"/>
            </w:rPr>
            <w:fldChar w:fldCharType="begin"/>
          </w:r>
          <w:r>
            <w:rPr>
              <w:rFonts w:hint="default" w:ascii="Times New Roman" w:hAnsi="Times New Roman" w:eastAsia="Times New Roman" w:cs="Times New Roman"/>
              <w:sz w:val="28"/>
              <w:szCs w:val="36"/>
            </w:rPr>
            <w:instrText xml:space="preserve"> HYPERLINK \l _Toc31492 </w:instrText>
          </w:r>
          <w:r>
            <w:rPr>
              <w:rFonts w:hint="default" w:ascii="Times New Roman" w:hAnsi="Times New Roman" w:eastAsia="Times New Roman" w:cs="Times New Roman"/>
              <w:sz w:val="28"/>
              <w:szCs w:val="36"/>
            </w:rPr>
            <w:fldChar w:fldCharType="separate"/>
          </w:r>
          <w:r>
            <w:rPr>
              <w:rFonts w:hint="default" w:ascii="Times New Roman" w:hAnsi="Times New Roman" w:eastAsia="仿宋_GB2312" w:cs="Times New Roman"/>
              <w:snapToGrid/>
              <w:kern w:val="2"/>
              <w:sz w:val="28"/>
              <w:szCs w:val="32"/>
              <w:lang w:eastAsia="zh-CN"/>
            </w:rPr>
            <w:t xml:space="preserve">2.1. </w:t>
          </w:r>
          <w:r>
            <w:rPr>
              <w:rFonts w:hint="default" w:ascii="Times New Roman" w:hAnsi="Times New Roman" w:eastAsia="仿宋_GB2312" w:cs="Times New Roman"/>
              <w:snapToGrid/>
              <w:kern w:val="2"/>
              <w:sz w:val="28"/>
              <w:szCs w:val="32"/>
              <w:highlight w:val="none"/>
              <w:lang w:eastAsia="zh-CN"/>
            </w:rPr>
            <w:t>与区域发展规划协调性分析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_Toc31492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9</w:t>
          </w:r>
          <w:r>
            <w:rPr>
              <w:rFonts w:hint="default" w:ascii="Times New Roman" w:hAnsi="Times New Roman" w:cs="Times New Roman"/>
              <w:sz w:val="28"/>
              <w:szCs w:val="28"/>
            </w:rPr>
            <w:fldChar w:fldCharType="end"/>
          </w:r>
          <w:r>
            <w:rPr>
              <w:rFonts w:hint="default" w:ascii="Times New Roman" w:hAnsi="Times New Roman" w:eastAsia="Times New Roman" w:cs="Times New Roman"/>
              <w:sz w:val="28"/>
              <w:szCs w:val="36"/>
            </w:rPr>
            <w:fldChar w:fldCharType="end"/>
          </w:r>
        </w:p>
        <w:p w14:paraId="09F49080">
          <w:pPr>
            <w:pStyle w:val="13"/>
            <w:tabs>
              <w:tab w:val="right" w:leader="dot" w:pos="8336"/>
            </w:tabs>
            <w:rPr>
              <w:rFonts w:hint="default" w:ascii="Times New Roman" w:hAnsi="Times New Roman" w:cs="Times New Roman"/>
              <w:sz w:val="28"/>
              <w:szCs w:val="28"/>
            </w:rPr>
          </w:pPr>
          <w:r>
            <w:rPr>
              <w:rFonts w:hint="default" w:ascii="Times New Roman" w:hAnsi="Times New Roman" w:eastAsia="Times New Roman" w:cs="Times New Roman"/>
              <w:sz w:val="28"/>
              <w:szCs w:val="36"/>
            </w:rPr>
            <w:fldChar w:fldCharType="begin"/>
          </w:r>
          <w:r>
            <w:rPr>
              <w:rFonts w:hint="default" w:ascii="Times New Roman" w:hAnsi="Times New Roman" w:eastAsia="Times New Roman" w:cs="Times New Roman"/>
              <w:sz w:val="28"/>
              <w:szCs w:val="36"/>
            </w:rPr>
            <w:instrText xml:space="preserve"> HYPERLINK \l _Toc7754 </w:instrText>
          </w:r>
          <w:r>
            <w:rPr>
              <w:rFonts w:hint="default" w:ascii="Times New Roman" w:hAnsi="Times New Roman" w:eastAsia="Times New Roman" w:cs="Times New Roman"/>
              <w:sz w:val="28"/>
              <w:szCs w:val="36"/>
            </w:rPr>
            <w:fldChar w:fldCharType="separate"/>
          </w:r>
          <w:r>
            <w:rPr>
              <w:rFonts w:hint="default" w:ascii="Times New Roman" w:hAnsi="Times New Roman" w:eastAsia="仿宋_GB2312" w:cs="Times New Roman"/>
              <w:snapToGrid/>
              <w:kern w:val="2"/>
              <w:sz w:val="28"/>
              <w:szCs w:val="32"/>
              <w:lang w:eastAsia="zh-CN"/>
            </w:rPr>
            <w:t xml:space="preserve">2.2. </w:t>
          </w:r>
          <w:r>
            <w:rPr>
              <w:rFonts w:hint="default" w:ascii="Times New Roman" w:hAnsi="Times New Roman" w:eastAsia="仿宋_GB2312" w:cs="Times New Roman"/>
              <w:snapToGrid/>
              <w:kern w:val="2"/>
              <w:sz w:val="28"/>
              <w:szCs w:val="32"/>
              <w:highlight w:val="none"/>
              <w:lang w:eastAsia="zh-CN"/>
            </w:rPr>
            <w:t>与</w:t>
          </w:r>
          <w:r>
            <w:rPr>
              <w:rFonts w:hint="default" w:ascii="Times New Roman" w:hAnsi="Times New Roman" w:eastAsia="仿宋_GB2312" w:cs="Times New Roman"/>
              <w:snapToGrid/>
              <w:kern w:val="2"/>
              <w:sz w:val="28"/>
              <w:szCs w:val="32"/>
              <w:highlight w:val="none"/>
              <w:lang w:val="en-US" w:eastAsia="zh-CN"/>
            </w:rPr>
            <w:t>国土空间</w:t>
          </w:r>
          <w:r>
            <w:rPr>
              <w:rFonts w:hint="default" w:ascii="Times New Roman" w:hAnsi="Times New Roman" w:eastAsia="仿宋_GB2312" w:cs="Times New Roman"/>
              <w:snapToGrid/>
              <w:kern w:val="2"/>
              <w:sz w:val="28"/>
              <w:szCs w:val="32"/>
              <w:highlight w:val="none"/>
              <w:lang w:eastAsia="zh-CN"/>
            </w:rPr>
            <w:t>规划协调性分析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_Toc7754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11</w:t>
          </w:r>
          <w:r>
            <w:rPr>
              <w:rFonts w:hint="default" w:ascii="Times New Roman" w:hAnsi="Times New Roman" w:cs="Times New Roman"/>
              <w:sz w:val="28"/>
              <w:szCs w:val="28"/>
            </w:rPr>
            <w:fldChar w:fldCharType="end"/>
          </w:r>
          <w:r>
            <w:rPr>
              <w:rFonts w:hint="default" w:ascii="Times New Roman" w:hAnsi="Times New Roman" w:eastAsia="Times New Roman" w:cs="Times New Roman"/>
              <w:sz w:val="28"/>
              <w:szCs w:val="36"/>
            </w:rPr>
            <w:fldChar w:fldCharType="end"/>
          </w:r>
        </w:p>
        <w:p w14:paraId="1BE279B6">
          <w:pPr>
            <w:pStyle w:val="13"/>
            <w:tabs>
              <w:tab w:val="right" w:leader="dot" w:pos="8336"/>
            </w:tabs>
            <w:rPr>
              <w:rFonts w:hint="default" w:ascii="Times New Roman" w:hAnsi="Times New Roman" w:cs="Times New Roman"/>
              <w:sz w:val="28"/>
              <w:szCs w:val="28"/>
            </w:rPr>
          </w:pPr>
          <w:r>
            <w:rPr>
              <w:rFonts w:hint="default" w:ascii="Times New Roman" w:hAnsi="Times New Roman" w:eastAsia="Times New Roman" w:cs="Times New Roman"/>
              <w:sz w:val="28"/>
              <w:szCs w:val="36"/>
            </w:rPr>
            <w:fldChar w:fldCharType="begin"/>
          </w:r>
          <w:r>
            <w:rPr>
              <w:rFonts w:hint="default" w:ascii="Times New Roman" w:hAnsi="Times New Roman" w:eastAsia="Times New Roman" w:cs="Times New Roman"/>
              <w:sz w:val="28"/>
              <w:szCs w:val="36"/>
            </w:rPr>
            <w:instrText xml:space="preserve"> HYPERLINK \l _Toc2681 </w:instrText>
          </w:r>
          <w:r>
            <w:rPr>
              <w:rFonts w:hint="default" w:ascii="Times New Roman" w:hAnsi="Times New Roman" w:eastAsia="Times New Roman" w:cs="Times New Roman"/>
              <w:sz w:val="28"/>
              <w:szCs w:val="36"/>
            </w:rPr>
            <w:fldChar w:fldCharType="separate"/>
          </w:r>
          <w:r>
            <w:rPr>
              <w:rFonts w:hint="default" w:ascii="Times New Roman" w:hAnsi="Times New Roman" w:eastAsia="仿宋_GB2312" w:cs="Times New Roman"/>
              <w:snapToGrid/>
              <w:kern w:val="2"/>
              <w:sz w:val="28"/>
              <w:szCs w:val="32"/>
              <w:lang w:eastAsia="zh-CN"/>
            </w:rPr>
            <w:t xml:space="preserve">2.3. </w:t>
          </w:r>
          <w:r>
            <w:rPr>
              <w:rFonts w:hint="default" w:ascii="Times New Roman" w:hAnsi="Times New Roman" w:eastAsia="仿宋_GB2312" w:cs="Times New Roman"/>
              <w:snapToGrid/>
              <w:kern w:val="2"/>
              <w:sz w:val="28"/>
              <w:szCs w:val="32"/>
              <w:highlight w:val="none"/>
              <w:lang w:eastAsia="zh-CN"/>
            </w:rPr>
            <w:t>与产业政策及规划协调性分析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_Toc2681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12</w:t>
          </w:r>
          <w:r>
            <w:rPr>
              <w:rFonts w:hint="default" w:ascii="Times New Roman" w:hAnsi="Times New Roman" w:cs="Times New Roman"/>
              <w:sz w:val="28"/>
              <w:szCs w:val="28"/>
            </w:rPr>
            <w:fldChar w:fldCharType="end"/>
          </w:r>
          <w:r>
            <w:rPr>
              <w:rFonts w:hint="default" w:ascii="Times New Roman" w:hAnsi="Times New Roman" w:eastAsia="Times New Roman" w:cs="Times New Roman"/>
              <w:sz w:val="28"/>
              <w:szCs w:val="36"/>
            </w:rPr>
            <w:fldChar w:fldCharType="end"/>
          </w:r>
        </w:p>
        <w:p w14:paraId="7A7BF023">
          <w:pPr>
            <w:pStyle w:val="13"/>
            <w:tabs>
              <w:tab w:val="right" w:leader="dot" w:pos="8336"/>
            </w:tabs>
            <w:rPr>
              <w:rFonts w:hint="default" w:ascii="Times New Roman" w:hAnsi="Times New Roman" w:cs="Times New Roman"/>
              <w:sz w:val="28"/>
              <w:szCs w:val="28"/>
            </w:rPr>
          </w:pPr>
          <w:r>
            <w:rPr>
              <w:rFonts w:hint="default" w:ascii="Times New Roman" w:hAnsi="Times New Roman" w:eastAsia="Times New Roman" w:cs="Times New Roman"/>
              <w:sz w:val="28"/>
              <w:szCs w:val="36"/>
            </w:rPr>
            <w:fldChar w:fldCharType="begin"/>
          </w:r>
          <w:r>
            <w:rPr>
              <w:rFonts w:hint="default" w:ascii="Times New Roman" w:hAnsi="Times New Roman" w:eastAsia="Times New Roman" w:cs="Times New Roman"/>
              <w:sz w:val="28"/>
              <w:szCs w:val="36"/>
            </w:rPr>
            <w:instrText xml:space="preserve"> HYPERLINK \l _Toc7384 </w:instrText>
          </w:r>
          <w:r>
            <w:rPr>
              <w:rFonts w:hint="default" w:ascii="Times New Roman" w:hAnsi="Times New Roman" w:eastAsia="Times New Roman" w:cs="Times New Roman"/>
              <w:sz w:val="28"/>
              <w:szCs w:val="36"/>
            </w:rPr>
            <w:fldChar w:fldCharType="separate"/>
          </w:r>
          <w:r>
            <w:rPr>
              <w:rFonts w:hint="default" w:ascii="Times New Roman" w:hAnsi="Times New Roman" w:eastAsia="仿宋_GB2312" w:cs="Times New Roman"/>
              <w:snapToGrid/>
              <w:kern w:val="2"/>
              <w:sz w:val="28"/>
              <w:szCs w:val="32"/>
              <w:lang w:eastAsia="zh-CN"/>
            </w:rPr>
            <w:t xml:space="preserve">2.4. </w:t>
          </w:r>
          <w:r>
            <w:rPr>
              <w:rFonts w:hint="default" w:ascii="Times New Roman" w:hAnsi="Times New Roman" w:eastAsia="仿宋_GB2312" w:cs="Times New Roman"/>
              <w:snapToGrid/>
              <w:kern w:val="2"/>
              <w:sz w:val="28"/>
              <w:szCs w:val="32"/>
              <w:highlight w:val="none"/>
              <w:lang w:eastAsia="zh-CN"/>
            </w:rPr>
            <w:t>与生态空间保护区域相关规划的协调性分析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_Toc7384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13</w:t>
          </w:r>
          <w:r>
            <w:rPr>
              <w:rFonts w:hint="default" w:ascii="Times New Roman" w:hAnsi="Times New Roman" w:cs="Times New Roman"/>
              <w:sz w:val="28"/>
              <w:szCs w:val="28"/>
            </w:rPr>
            <w:fldChar w:fldCharType="end"/>
          </w:r>
          <w:r>
            <w:rPr>
              <w:rFonts w:hint="default" w:ascii="Times New Roman" w:hAnsi="Times New Roman" w:eastAsia="Times New Roman" w:cs="Times New Roman"/>
              <w:sz w:val="28"/>
              <w:szCs w:val="36"/>
            </w:rPr>
            <w:fldChar w:fldCharType="end"/>
          </w:r>
        </w:p>
        <w:p w14:paraId="1702A5C2">
          <w:pPr>
            <w:pStyle w:val="13"/>
            <w:tabs>
              <w:tab w:val="right" w:leader="dot" w:pos="8336"/>
            </w:tabs>
            <w:rPr>
              <w:rFonts w:hint="default" w:ascii="Times New Roman" w:hAnsi="Times New Roman" w:cs="Times New Roman"/>
              <w:sz w:val="28"/>
              <w:szCs w:val="28"/>
            </w:rPr>
          </w:pPr>
          <w:r>
            <w:rPr>
              <w:rFonts w:hint="default" w:ascii="Times New Roman" w:hAnsi="Times New Roman" w:eastAsia="Times New Roman" w:cs="Times New Roman"/>
              <w:sz w:val="28"/>
              <w:szCs w:val="36"/>
            </w:rPr>
            <w:fldChar w:fldCharType="begin"/>
          </w:r>
          <w:r>
            <w:rPr>
              <w:rFonts w:hint="default" w:ascii="Times New Roman" w:hAnsi="Times New Roman" w:eastAsia="Times New Roman" w:cs="Times New Roman"/>
              <w:sz w:val="28"/>
              <w:szCs w:val="36"/>
            </w:rPr>
            <w:instrText xml:space="preserve"> HYPERLINK \l _Toc5672 </w:instrText>
          </w:r>
          <w:r>
            <w:rPr>
              <w:rFonts w:hint="default" w:ascii="Times New Roman" w:hAnsi="Times New Roman" w:eastAsia="Times New Roman" w:cs="Times New Roman"/>
              <w:sz w:val="28"/>
              <w:szCs w:val="36"/>
            </w:rPr>
            <w:fldChar w:fldCharType="separate"/>
          </w:r>
          <w:r>
            <w:rPr>
              <w:rFonts w:hint="default" w:ascii="Times New Roman" w:hAnsi="Times New Roman" w:eastAsia="仿宋_GB2312" w:cs="Times New Roman"/>
              <w:snapToGrid/>
              <w:kern w:val="2"/>
              <w:sz w:val="28"/>
              <w:szCs w:val="32"/>
              <w:lang w:eastAsia="zh-CN"/>
            </w:rPr>
            <w:t xml:space="preserve">2.5. </w:t>
          </w:r>
          <w:r>
            <w:rPr>
              <w:rFonts w:hint="default" w:ascii="Times New Roman" w:hAnsi="Times New Roman" w:eastAsia="仿宋_GB2312" w:cs="Times New Roman"/>
              <w:snapToGrid/>
              <w:kern w:val="2"/>
              <w:sz w:val="28"/>
              <w:szCs w:val="32"/>
              <w:highlight w:val="none"/>
              <w:lang w:eastAsia="zh-CN"/>
            </w:rPr>
            <w:t>与生态环境保护和污染防治相关规划、政策协调性分析</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_Toc5672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13</w:t>
          </w:r>
          <w:r>
            <w:rPr>
              <w:rFonts w:hint="default" w:ascii="Times New Roman" w:hAnsi="Times New Roman" w:cs="Times New Roman"/>
              <w:sz w:val="28"/>
              <w:szCs w:val="28"/>
            </w:rPr>
            <w:fldChar w:fldCharType="end"/>
          </w:r>
          <w:r>
            <w:rPr>
              <w:rFonts w:hint="default" w:ascii="Times New Roman" w:hAnsi="Times New Roman" w:eastAsia="Times New Roman" w:cs="Times New Roman"/>
              <w:sz w:val="28"/>
              <w:szCs w:val="36"/>
            </w:rPr>
            <w:fldChar w:fldCharType="end"/>
          </w:r>
        </w:p>
        <w:p w14:paraId="4572F0E5">
          <w:pPr>
            <w:pStyle w:val="12"/>
            <w:tabs>
              <w:tab w:val="right" w:leader="dot" w:pos="8336"/>
            </w:tabs>
            <w:rPr>
              <w:rFonts w:hint="default" w:ascii="Times New Roman" w:hAnsi="Times New Roman" w:cs="Times New Roman"/>
              <w:sz w:val="28"/>
              <w:szCs w:val="28"/>
            </w:rPr>
          </w:pPr>
          <w:r>
            <w:rPr>
              <w:rFonts w:hint="default" w:ascii="Times New Roman" w:hAnsi="Times New Roman" w:eastAsia="Times New Roman" w:cs="Times New Roman"/>
              <w:sz w:val="28"/>
              <w:szCs w:val="36"/>
            </w:rPr>
            <w:fldChar w:fldCharType="begin"/>
          </w:r>
          <w:r>
            <w:rPr>
              <w:rFonts w:hint="default" w:ascii="Times New Roman" w:hAnsi="Times New Roman" w:eastAsia="Times New Roman" w:cs="Times New Roman"/>
              <w:sz w:val="28"/>
              <w:szCs w:val="36"/>
            </w:rPr>
            <w:instrText xml:space="preserve"> HYPERLINK \l _Toc14688 </w:instrText>
          </w:r>
          <w:r>
            <w:rPr>
              <w:rFonts w:hint="default" w:ascii="Times New Roman" w:hAnsi="Times New Roman" w:eastAsia="Times New Roman" w:cs="Times New Roman"/>
              <w:sz w:val="28"/>
              <w:szCs w:val="36"/>
            </w:rPr>
            <w:fldChar w:fldCharType="separate"/>
          </w:r>
          <w:r>
            <w:rPr>
              <w:rFonts w:hint="default" w:ascii="Times New Roman" w:hAnsi="Times New Roman" w:eastAsia="仿宋_GB2312" w:cs="Times New Roman"/>
              <w:snapToGrid/>
              <w:sz w:val="28"/>
              <w:szCs w:val="32"/>
              <w:lang w:eastAsia="zh-CN"/>
            </w:rPr>
            <w:t xml:space="preserve">3. </w:t>
          </w:r>
          <w:r>
            <w:rPr>
              <w:rFonts w:hint="default" w:ascii="Times New Roman" w:hAnsi="Times New Roman" w:eastAsia="仿宋_GB2312" w:cs="Times New Roman"/>
              <w:snapToGrid/>
              <w:sz w:val="28"/>
              <w:szCs w:val="32"/>
              <w:highlight w:val="none"/>
              <w:lang w:eastAsia="zh-CN"/>
            </w:rPr>
            <w:t>环境质量现状</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_Toc14688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16</w:t>
          </w:r>
          <w:r>
            <w:rPr>
              <w:rFonts w:hint="default" w:ascii="Times New Roman" w:hAnsi="Times New Roman" w:cs="Times New Roman"/>
              <w:sz w:val="28"/>
              <w:szCs w:val="28"/>
            </w:rPr>
            <w:fldChar w:fldCharType="end"/>
          </w:r>
          <w:r>
            <w:rPr>
              <w:rFonts w:hint="default" w:ascii="Times New Roman" w:hAnsi="Times New Roman" w:eastAsia="Times New Roman" w:cs="Times New Roman"/>
              <w:sz w:val="28"/>
              <w:szCs w:val="36"/>
            </w:rPr>
            <w:fldChar w:fldCharType="end"/>
          </w:r>
        </w:p>
        <w:p w14:paraId="07CBE45C">
          <w:pPr>
            <w:pStyle w:val="12"/>
            <w:tabs>
              <w:tab w:val="right" w:leader="dot" w:pos="8336"/>
            </w:tabs>
            <w:rPr>
              <w:rFonts w:hint="default" w:ascii="Times New Roman" w:hAnsi="Times New Roman" w:cs="Times New Roman"/>
              <w:sz w:val="28"/>
              <w:szCs w:val="28"/>
            </w:rPr>
          </w:pPr>
          <w:r>
            <w:rPr>
              <w:rFonts w:hint="default" w:ascii="Times New Roman" w:hAnsi="Times New Roman" w:eastAsia="Times New Roman" w:cs="Times New Roman"/>
              <w:sz w:val="28"/>
              <w:szCs w:val="36"/>
            </w:rPr>
            <w:fldChar w:fldCharType="begin"/>
          </w:r>
          <w:r>
            <w:rPr>
              <w:rFonts w:hint="default" w:ascii="Times New Roman" w:hAnsi="Times New Roman" w:eastAsia="Times New Roman" w:cs="Times New Roman"/>
              <w:sz w:val="28"/>
              <w:szCs w:val="36"/>
            </w:rPr>
            <w:instrText xml:space="preserve"> HYPERLINK \l _Toc240 </w:instrText>
          </w:r>
          <w:r>
            <w:rPr>
              <w:rFonts w:hint="default" w:ascii="Times New Roman" w:hAnsi="Times New Roman" w:eastAsia="Times New Roman" w:cs="Times New Roman"/>
              <w:sz w:val="28"/>
              <w:szCs w:val="36"/>
            </w:rPr>
            <w:fldChar w:fldCharType="separate"/>
          </w:r>
          <w:r>
            <w:rPr>
              <w:rFonts w:hint="default" w:ascii="Times New Roman" w:hAnsi="Times New Roman" w:eastAsia="仿宋_GB2312" w:cs="Times New Roman"/>
              <w:snapToGrid/>
              <w:sz w:val="28"/>
              <w:szCs w:val="32"/>
              <w:lang w:eastAsia="zh-CN"/>
            </w:rPr>
            <w:t xml:space="preserve">4. </w:t>
          </w:r>
          <w:r>
            <w:rPr>
              <w:rFonts w:hint="default" w:ascii="Times New Roman" w:hAnsi="Times New Roman" w:eastAsia="仿宋_GB2312" w:cs="Times New Roman"/>
              <w:snapToGrid/>
              <w:sz w:val="28"/>
              <w:szCs w:val="32"/>
              <w:highlight w:val="none"/>
              <w:lang w:eastAsia="zh-CN"/>
            </w:rPr>
            <w:t>环境影响预测结论</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_Toc240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18</w:t>
          </w:r>
          <w:r>
            <w:rPr>
              <w:rFonts w:hint="default" w:ascii="Times New Roman" w:hAnsi="Times New Roman" w:cs="Times New Roman"/>
              <w:sz w:val="28"/>
              <w:szCs w:val="28"/>
            </w:rPr>
            <w:fldChar w:fldCharType="end"/>
          </w:r>
          <w:r>
            <w:rPr>
              <w:rFonts w:hint="default" w:ascii="Times New Roman" w:hAnsi="Times New Roman" w:eastAsia="Times New Roman" w:cs="Times New Roman"/>
              <w:sz w:val="28"/>
              <w:szCs w:val="36"/>
            </w:rPr>
            <w:fldChar w:fldCharType="end"/>
          </w:r>
        </w:p>
        <w:p w14:paraId="26C06D1E">
          <w:pPr>
            <w:pStyle w:val="12"/>
            <w:tabs>
              <w:tab w:val="right" w:leader="dot" w:pos="8336"/>
            </w:tabs>
            <w:rPr>
              <w:rFonts w:hint="default" w:ascii="Times New Roman" w:hAnsi="Times New Roman" w:cs="Times New Roman"/>
              <w:sz w:val="28"/>
              <w:szCs w:val="28"/>
            </w:rPr>
          </w:pPr>
          <w:r>
            <w:rPr>
              <w:rFonts w:hint="default" w:ascii="Times New Roman" w:hAnsi="Times New Roman" w:eastAsia="Times New Roman" w:cs="Times New Roman"/>
              <w:sz w:val="28"/>
              <w:szCs w:val="36"/>
            </w:rPr>
            <w:fldChar w:fldCharType="begin"/>
          </w:r>
          <w:r>
            <w:rPr>
              <w:rFonts w:hint="default" w:ascii="Times New Roman" w:hAnsi="Times New Roman" w:eastAsia="Times New Roman" w:cs="Times New Roman"/>
              <w:sz w:val="28"/>
              <w:szCs w:val="36"/>
            </w:rPr>
            <w:instrText xml:space="preserve"> HYPERLINK \l _Toc14983 </w:instrText>
          </w:r>
          <w:r>
            <w:rPr>
              <w:rFonts w:hint="default" w:ascii="Times New Roman" w:hAnsi="Times New Roman" w:eastAsia="Times New Roman" w:cs="Times New Roman"/>
              <w:sz w:val="28"/>
              <w:szCs w:val="36"/>
            </w:rPr>
            <w:fldChar w:fldCharType="separate"/>
          </w:r>
          <w:r>
            <w:rPr>
              <w:rFonts w:hint="default" w:ascii="Times New Roman" w:hAnsi="Times New Roman" w:eastAsia="仿宋_GB2312" w:cs="Times New Roman"/>
              <w:snapToGrid/>
              <w:sz w:val="28"/>
              <w:szCs w:val="32"/>
              <w:lang w:eastAsia="zh-CN"/>
            </w:rPr>
            <w:t xml:space="preserve">5. </w:t>
          </w:r>
          <w:r>
            <w:rPr>
              <w:rFonts w:hint="default" w:ascii="Times New Roman" w:hAnsi="Times New Roman" w:eastAsia="仿宋_GB2312" w:cs="Times New Roman"/>
              <w:snapToGrid/>
              <w:sz w:val="28"/>
              <w:szCs w:val="32"/>
              <w:highlight w:val="none"/>
              <w:lang w:eastAsia="zh-CN"/>
            </w:rPr>
            <w:t>规划方案综合论证</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_Toc14983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20</w:t>
          </w:r>
          <w:r>
            <w:rPr>
              <w:rFonts w:hint="default" w:ascii="Times New Roman" w:hAnsi="Times New Roman" w:cs="Times New Roman"/>
              <w:sz w:val="28"/>
              <w:szCs w:val="28"/>
            </w:rPr>
            <w:fldChar w:fldCharType="end"/>
          </w:r>
          <w:r>
            <w:rPr>
              <w:rFonts w:hint="default" w:ascii="Times New Roman" w:hAnsi="Times New Roman" w:eastAsia="Times New Roman" w:cs="Times New Roman"/>
              <w:sz w:val="28"/>
              <w:szCs w:val="36"/>
            </w:rPr>
            <w:fldChar w:fldCharType="end"/>
          </w:r>
        </w:p>
        <w:p w14:paraId="475024CA">
          <w:pPr>
            <w:pStyle w:val="12"/>
            <w:tabs>
              <w:tab w:val="right" w:leader="dot" w:pos="8336"/>
            </w:tabs>
            <w:rPr>
              <w:rFonts w:hint="default" w:ascii="Times New Roman" w:hAnsi="Times New Roman" w:cs="Times New Roman"/>
              <w:sz w:val="28"/>
              <w:szCs w:val="28"/>
            </w:rPr>
          </w:pPr>
          <w:r>
            <w:rPr>
              <w:rFonts w:hint="default" w:ascii="Times New Roman" w:hAnsi="Times New Roman" w:eastAsia="Times New Roman" w:cs="Times New Roman"/>
              <w:sz w:val="28"/>
              <w:szCs w:val="36"/>
            </w:rPr>
            <w:fldChar w:fldCharType="begin"/>
          </w:r>
          <w:r>
            <w:rPr>
              <w:rFonts w:hint="default" w:ascii="Times New Roman" w:hAnsi="Times New Roman" w:eastAsia="Times New Roman" w:cs="Times New Roman"/>
              <w:sz w:val="28"/>
              <w:szCs w:val="36"/>
            </w:rPr>
            <w:instrText xml:space="preserve"> HYPERLINK \l _Toc12571 </w:instrText>
          </w:r>
          <w:r>
            <w:rPr>
              <w:rFonts w:hint="default" w:ascii="Times New Roman" w:hAnsi="Times New Roman" w:eastAsia="Times New Roman" w:cs="Times New Roman"/>
              <w:sz w:val="28"/>
              <w:szCs w:val="36"/>
            </w:rPr>
            <w:fldChar w:fldCharType="separate"/>
          </w:r>
          <w:r>
            <w:rPr>
              <w:rFonts w:hint="default" w:ascii="Times New Roman" w:hAnsi="Times New Roman" w:eastAsia="仿宋_GB2312" w:cs="Times New Roman"/>
              <w:snapToGrid/>
              <w:sz w:val="28"/>
              <w:szCs w:val="32"/>
              <w:lang w:eastAsia="zh-CN"/>
            </w:rPr>
            <w:t xml:space="preserve">6. </w:t>
          </w:r>
          <w:r>
            <w:rPr>
              <w:rFonts w:hint="default" w:ascii="Times New Roman" w:hAnsi="Times New Roman" w:eastAsia="仿宋_GB2312" w:cs="Times New Roman"/>
              <w:snapToGrid/>
              <w:sz w:val="28"/>
              <w:szCs w:val="32"/>
              <w:highlight w:val="none"/>
              <w:lang w:eastAsia="zh-CN"/>
            </w:rPr>
            <w:t>环境影响减缓措施</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_Toc12571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21</w:t>
          </w:r>
          <w:r>
            <w:rPr>
              <w:rFonts w:hint="default" w:ascii="Times New Roman" w:hAnsi="Times New Roman" w:cs="Times New Roman"/>
              <w:sz w:val="28"/>
              <w:szCs w:val="28"/>
            </w:rPr>
            <w:fldChar w:fldCharType="end"/>
          </w:r>
          <w:r>
            <w:rPr>
              <w:rFonts w:hint="default" w:ascii="Times New Roman" w:hAnsi="Times New Roman" w:eastAsia="Times New Roman" w:cs="Times New Roman"/>
              <w:sz w:val="28"/>
              <w:szCs w:val="36"/>
            </w:rPr>
            <w:fldChar w:fldCharType="end"/>
          </w:r>
        </w:p>
        <w:p w14:paraId="418B1A17">
          <w:pPr>
            <w:pStyle w:val="12"/>
            <w:tabs>
              <w:tab w:val="right" w:leader="dot" w:pos="8336"/>
            </w:tabs>
            <w:rPr>
              <w:rFonts w:hint="default" w:ascii="Times New Roman" w:hAnsi="Times New Roman" w:cs="Times New Roman"/>
              <w:sz w:val="28"/>
              <w:szCs w:val="28"/>
            </w:rPr>
          </w:pPr>
          <w:r>
            <w:rPr>
              <w:rFonts w:hint="default" w:ascii="Times New Roman" w:hAnsi="Times New Roman" w:eastAsia="Times New Roman" w:cs="Times New Roman"/>
              <w:sz w:val="28"/>
              <w:szCs w:val="36"/>
            </w:rPr>
            <w:fldChar w:fldCharType="begin"/>
          </w:r>
          <w:r>
            <w:rPr>
              <w:rFonts w:hint="default" w:ascii="Times New Roman" w:hAnsi="Times New Roman" w:eastAsia="Times New Roman" w:cs="Times New Roman"/>
              <w:sz w:val="28"/>
              <w:szCs w:val="36"/>
            </w:rPr>
            <w:instrText xml:space="preserve"> HYPERLINK \l _Toc9922 </w:instrText>
          </w:r>
          <w:r>
            <w:rPr>
              <w:rFonts w:hint="default" w:ascii="Times New Roman" w:hAnsi="Times New Roman" w:eastAsia="Times New Roman" w:cs="Times New Roman"/>
              <w:sz w:val="28"/>
              <w:szCs w:val="36"/>
            </w:rPr>
            <w:fldChar w:fldCharType="separate"/>
          </w:r>
          <w:r>
            <w:rPr>
              <w:rFonts w:hint="default" w:ascii="Times New Roman" w:hAnsi="Times New Roman" w:eastAsia="仿宋_GB2312" w:cs="Times New Roman"/>
              <w:snapToGrid/>
              <w:sz w:val="28"/>
              <w:szCs w:val="32"/>
              <w:lang w:eastAsia="zh-CN"/>
            </w:rPr>
            <w:t xml:space="preserve">7. </w:t>
          </w:r>
          <w:r>
            <w:rPr>
              <w:rFonts w:hint="default" w:ascii="Times New Roman" w:hAnsi="Times New Roman" w:eastAsia="仿宋_GB2312" w:cs="Times New Roman"/>
              <w:snapToGrid/>
              <w:sz w:val="28"/>
              <w:szCs w:val="32"/>
              <w:highlight w:val="none"/>
              <w:lang w:eastAsia="zh-CN"/>
            </w:rPr>
            <w:t>公众参与方案</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_Toc9922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23</w:t>
          </w:r>
          <w:r>
            <w:rPr>
              <w:rFonts w:hint="default" w:ascii="Times New Roman" w:hAnsi="Times New Roman" w:cs="Times New Roman"/>
              <w:sz w:val="28"/>
              <w:szCs w:val="28"/>
            </w:rPr>
            <w:fldChar w:fldCharType="end"/>
          </w:r>
          <w:r>
            <w:rPr>
              <w:rFonts w:hint="default" w:ascii="Times New Roman" w:hAnsi="Times New Roman" w:eastAsia="Times New Roman" w:cs="Times New Roman"/>
              <w:sz w:val="28"/>
              <w:szCs w:val="36"/>
            </w:rPr>
            <w:fldChar w:fldCharType="end"/>
          </w:r>
        </w:p>
        <w:p w14:paraId="111A7202">
          <w:pPr>
            <w:pStyle w:val="12"/>
            <w:tabs>
              <w:tab w:val="right" w:leader="dot" w:pos="8336"/>
            </w:tabs>
            <w:rPr>
              <w:rFonts w:hint="default" w:ascii="Times New Roman" w:hAnsi="Times New Roman" w:cs="Times New Roman"/>
              <w:sz w:val="28"/>
              <w:szCs w:val="28"/>
            </w:rPr>
          </w:pPr>
          <w:r>
            <w:rPr>
              <w:rFonts w:hint="default" w:ascii="Times New Roman" w:hAnsi="Times New Roman" w:eastAsia="Times New Roman" w:cs="Times New Roman"/>
              <w:sz w:val="28"/>
              <w:szCs w:val="36"/>
            </w:rPr>
            <w:fldChar w:fldCharType="begin"/>
          </w:r>
          <w:r>
            <w:rPr>
              <w:rFonts w:hint="default" w:ascii="Times New Roman" w:hAnsi="Times New Roman" w:eastAsia="Times New Roman" w:cs="Times New Roman"/>
              <w:sz w:val="28"/>
              <w:szCs w:val="36"/>
            </w:rPr>
            <w:instrText xml:space="preserve"> HYPERLINK \l _Toc12121 </w:instrText>
          </w:r>
          <w:r>
            <w:rPr>
              <w:rFonts w:hint="default" w:ascii="Times New Roman" w:hAnsi="Times New Roman" w:eastAsia="Times New Roman" w:cs="Times New Roman"/>
              <w:sz w:val="28"/>
              <w:szCs w:val="36"/>
            </w:rPr>
            <w:fldChar w:fldCharType="separate"/>
          </w:r>
          <w:r>
            <w:rPr>
              <w:rFonts w:hint="default" w:ascii="Times New Roman" w:hAnsi="Times New Roman" w:eastAsia="仿宋_GB2312" w:cs="Times New Roman"/>
              <w:snapToGrid/>
              <w:sz w:val="28"/>
              <w:szCs w:val="32"/>
              <w:lang w:eastAsia="zh-CN"/>
            </w:rPr>
            <w:t xml:space="preserve">8. </w:t>
          </w:r>
          <w:r>
            <w:rPr>
              <w:rFonts w:hint="default" w:ascii="Times New Roman" w:hAnsi="Times New Roman" w:eastAsia="仿宋_GB2312" w:cs="Times New Roman"/>
              <w:snapToGrid/>
              <w:sz w:val="28"/>
              <w:szCs w:val="32"/>
              <w:highlight w:val="none"/>
              <w:lang w:eastAsia="zh-CN"/>
            </w:rPr>
            <w:t>环境影响评价总结论</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_Toc12121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24</w:t>
          </w:r>
          <w:r>
            <w:rPr>
              <w:rFonts w:hint="default" w:ascii="Times New Roman" w:hAnsi="Times New Roman" w:cs="Times New Roman"/>
              <w:sz w:val="28"/>
              <w:szCs w:val="28"/>
            </w:rPr>
            <w:fldChar w:fldCharType="end"/>
          </w:r>
          <w:r>
            <w:rPr>
              <w:rFonts w:hint="default" w:ascii="Times New Roman" w:hAnsi="Times New Roman" w:eastAsia="Times New Roman" w:cs="Times New Roman"/>
              <w:sz w:val="28"/>
              <w:szCs w:val="36"/>
            </w:rPr>
            <w:fldChar w:fldCharType="end"/>
          </w:r>
        </w:p>
        <w:p w14:paraId="7EC96F11">
          <w:pPr>
            <w:pStyle w:val="12"/>
            <w:tabs>
              <w:tab w:val="right" w:leader="dot" w:pos="8336"/>
            </w:tabs>
            <w:rPr>
              <w:rFonts w:hint="default" w:ascii="Times New Roman" w:hAnsi="Times New Roman" w:cs="Times New Roman"/>
              <w:sz w:val="28"/>
              <w:szCs w:val="28"/>
            </w:rPr>
          </w:pPr>
          <w:r>
            <w:rPr>
              <w:rFonts w:hint="default" w:ascii="Times New Roman" w:hAnsi="Times New Roman" w:eastAsia="Times New Roman" w:cs="Times New Roman"/>
              <w:sz w:val="28"/>
              <w:szCs w:val="36"/>
            </w:rPr>
            <w:fldChar w:fldCharType="begin"/>
          </w:r>
          <w:r>
            <w:rPr>
              <w:rFonts w:hint="default" w:ascii="Times New Roman" w:hAnsi="Times New Roman" w:eastAsia="Times New Roman" w:cs="Times New Roman"/>
              <w:sz w:val="28"/>
              <w:szCs w:val="36"/>
            </w:rPr>
            <w:instrText xml:space="preserve"> HYPERLINK \l _Toc14306 </w:instrText>
          </w:r>
          <w:r>
            <w:rPr>
              <w:rFonts w:hint="default" w:ascii="Times New Roman" w:hAnsi="Times New Roman" w:eastAsia="Times New Roman" w:cs="Times New Roman"/>
              <w:sz w:val="28"/>
              <w:szCs w:val="36"/>
            </w:rPr>
            <w:fldChar w:fldCharType="separate"/>
          </w:r>
          <w:r>
            <w:rPr>
              <w:rFonts w:hint="default" w:ascii="Times New Roman" w:hAnsi="Times New Roman" w:eastAsia="仿宋_GB2312" w:cs="Times New Roman"/>
              <w:snapToGrid/>
              <w:sz w:val="28"/>
              <w:szCs w:val="32"/>
              <w:lang w:eastAsia="zh-CN"/>
            </w:rPr>
            <w:t xml:space="preserve">9. </w:t>
          </w:r>
          <w:r>
            <w:rPr>
              <w:rFonts w:hint="default" w:ascii="Times New Roman" w:hAnsi="Times New Roman" w:eastAsia="仿宋_GB2312" w:cs="Times New Roman"/>
              <w:snapToGrid/>
              <w:sz w:val="28"/>
              <w:szCs w:val="32"/>
              <w:highlight w:val="none"/>
              <w:lang w:eastAsia="zh-CN"/>
            </w:rPr>
            <w:t>联系方式</w:t>
          </w:r>
          <w:r>
            <w:rPr>
              <w:rFonts w:hint="default" w:ascii="Times New Roman" w:hAnsi="Times New Roman" w:cs="Times New Roman"/>
              <w:sz w:val="28"/>
              <w:szCs w:val="28"/>
            </w:rPr>
            <w:tab/>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PAGEREF _Toc14306 \h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25</w:t>
          </w:r>
          <w:r>
            <w:rPr>
              <w:rFonts w:hint="default" w:ascii="Times New Roman" w:hAnsi="Times New Roman" w:cs="Times New Roman"/>
              <w:sz w:val="28"/>
              <w:szCs w:val="28"/>
            </w:rPr>
            <w:fldChar w:fldCharType="end"/>
          </w:r>
          <w:r>
            <w:rPr>
              <w:rFonts w:hint="default" w:ascii="Times New Roman" w:hAnsi="Times New Roman" w:eastAsia="Times New Roman" w:cs="Times New Roman"/>
              <w:sz w:val="28"/>
              <w:szCs w:val="36"/>
            </w:rPr>
            <w:fldChar w:fldCharType="end"/>
          </w:r>
        </w:p>
        <w:p w14:paraId="24D0FECA">
          <w:pPr>
            <w:spacing w:line="214" w:lineRule="auto"/>
            <w:rPr>
              <w:rFonts w:ascii="Times New Roman" w:hAnsi="Times New Roman" w:eastAsia="Times New Roman" w:cs="Times New Roman"/>
              <w:snapToGrid w:val="0"/>
              <w:color w:val="000000"/>
              <w:kern w:val="0"/>
              <w:sz w:val="21"/>
              <w:szCs w:val="24"/>
              <w:lang w:val="en-US" w:eastAsia="en-US" w:bidi="ar-SA"/>
            </w:rPr>
          </w:pPr>
          <w:r>
            <w:rPr>
              <w:rFonts w:hint="default" w:ascii="Times New Roman" w:hAnsi="Times New Roman" w:eastAsia="Times New Roman" w:cs="Times New Roman"/>
              <w:sz w:val="28"/>
              <w:szCs w:val="36"/>
            </w:rPr>
            <w:fldChar w:fldCharType="end"/>
          </w:r>
        </w:p>
      </w:sdtContent>
    </w:sdt>
    <w:p w14:paraId="01356639">
      <w:pPr>
        <w:spacing w:line="214" w:lineRule="auto"/>
        <w:rPr>
          <w:rFonts w:ascii="Times New Roman" w:hAnsi="Times New Roman" w:eastAsia="Times New Roman" w:cs="Times New Roman"/>
          <w:snapToGrid w:val="0"/>
          <w:color w:val="000000"/>
          <w:kern w:val="0"/>
          <w:sz w:val="21"/>
          <w:szCs w:val="24"/>
          <w:lang w:val="en-US" w:eastAsia="en-US" w:bidi="ar-SA"/>
        </w:rPr>
        <w:sectPr>
          <w:pgSz w:w="11906" w:h="16839"/>
          <w:pgMar w:top="1431" w:right="1785" w:bottom="0" w:left="1785" w:header="0" w:footer="0" w:gutter="0"/>
          <w:pgNumType w:fmt="decimal"/>
          <w:cols w:space="720" w:num="1"/>
        </w:sectPr>
      </w:pPr>
    </w:p>
    <w:p w14:paraId="79AAF2DE">
      <w:pPr>
        <w:pStyle w:val="3"/>
        <w:widowControl w:val="0"/>
        <w:numPr>
          <w:ilvl w:val="0"/>
          <w:numId w:val="2"/>
        </w:numPr>
        <w:kinsoku/>
        <w:autoSpaceDE/>
        <w:autoSpaceDN/>
        <w:adjustRightInd/>
        <w:snapToGrid/>
        <w:spacing w:before="156" w:after="156" w:line="500" w:lineRule="exact"/>
        <w:ind w:left="425" w:leftChars="0" w:hanging="425" w:firstLineChars="0"/>
        <w:jc w:val="both"/>
        <w:textAlignment w:val="auto"/>
        <w:rPr>
          <w:rFonts w:ascii="Times New Roman" w:hAnsi="Times New Roman" w:eastAsia="仿宋_GB2312" w:cs="Times New Roman"/>
          <w:snapToGrid/>
          <w:color w:val="000000" w:themeColor="text1"/>
          <w:szCs w:val="22"/>
          <w:highlight w:val="none"/>
          <w:lang w:eastAsia="zh-CN"/>
          <w14:textFill>
            <w14:solidFill>
              <w14:schemeClr w14:val="tx1"/>
            </w14:solidFill>
          </w14:textFill>
        </w:rPr>
      </w:pPr>
      <w:bookmarkStart w:id="10" w:name="_Toc13676"/>
      <w: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t>任务由来及规划概述</w:t>
      </w:r>
      <w:bookmarkEnd w:id="10"/>
    </w:p>
    <w:p w14:paraId="259B44EF">
      <w:pPr>
        <w:pStyle w:val="4"/>
        <w:widowControl w:val="0"/>
        <w:numPr>
          <w:ilvl w:val="1"/>
          <w:numId w:val="2"/>
        </w:numPr>
        <w:kinsoku/>
        <w:autoSpaceDE/>
        <w:autoSpaceDN/>
        <w:adjustRightInd/>
        <w:snapToGrid/>
        <w:spacing w:before="156" w:after="156" w:line="500" w:lineRule="exact"/>
        <w:ind w:left="567" w:leftChars="0" w:hanging="567" w:firstLineChars="0"/>
        <w:jc w:val="both"/>
        <w:textAlignment w:val="auto"/>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pPr>
      <w:bookmarkStart w:id="11" w:name="bookmark21"/>
      <w:bookmarkEnd w:id="11"/>
      <w:bookmarkStart w:id="12" w:name="_Toc29960"/>
      <w:r>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t>任务由来</w:t>
      </w:r>
      <w:bookmarkEnd w:id="12"/>
    </w:p>
    <w:p w14:paraId="4439EACC">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pPr>
      <w:bookmarkStart w:id="13" w:name="bookmark1"/>
      <w:bookmarkEnd w:id="13"/>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20</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16</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年</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5</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月1</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7</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日，江苏省相城高新技术产业开发区</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（以下简称“相城高新区”）</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经江苏省人民政府批准</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筹建</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（苏政复〔20</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16</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50</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号），规划面积</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2.3</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km</w:t>
      </w:r>
      <w:r>
        <w:rPr>
          <w:rFonts w:hint="eastAsia" w:ascii="Times New Roman" w:hAnsi="Times New Roman" w:eastAsia="仿宋_GB2312" w:cs="Times New Roman"/>
          <w:snapToGrid/>
          <w:color w:val="000000" w:themeColor="text1"/>
          <w:kern w:val="2"/>
          <w:sz w:val="28"/>
          <w:szCs w:val="22"/>
          <w:highlight w:val="none"/>
          <w:vertAlign w:val="superscript"/>
          <w:lang w:eastAsia="zh-CN"/>
          <w14:textFill>
            <w14:solidFill>
              <w14:schemeClr w14:val="tx1"/>
            </w14:solidFill>
          </w14:textFill>
        </w:rPr>
        <w:t>2</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，四至范围：</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东至西塘河路，南至东蠡河，西至许午桥港，北至春申西路</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2018年9月21日，江苏省人民政府批准设立江苏省相城高新技术产业开发区，明确其为省级开发区（苏政复〔2018〕82号）。</w:t>
      </w:r>
    </w:p>
    <w:p w14:paraId="26B68668">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相城高新区的建设发展，以潘阳工业园、苏州浒东化工集中区（北片区）等既有产业载体为基础，逐步顺应区域产业升级与生态环境政策改革的要求。其中，潘阳工业园于2001年经相城区人民政府批准成立，《苏州市相城区潘阳工业园规划环境影响报告书》于2015年取得相城区生态环境局的审批意见（苏相环建〔2015〕157号），四至范围与2016年相城高新区筹建核心区域一致（东至西塘河西路、南至东蠡河、西至许午桥港、北至春申西路），为高新区起步建设奠定基础。苏州浒东化工集中区于2012年由苏州市人民政府批复设立（苏府复〔2012〕49号），并报江苏省环保厅批准（苏环便管〔2012〕52号），总规划面积6.77km</w:t>
      </w:r>
      <w:r>
        <w:rPr>
          <w:rFonts w:hint="eastAsia" w:ascii="Times New Roman" w:hAnsi="Times New Roman" w:eastAsia="仿宋_GB2312" w:cs="Times New Roman"/>
          <w:snapToGrid/>
          <w:color w:val="000000" w:themeColor="text1"/>
          <w:kern w:val="2"/>
          <w:sz w:val="28"/>
          <w:szCs w:val="22"/>
          <w:highlight w:val="none"/>
          <w:vertAlign w:val="superscript"/>
          <w:lang w:val="en-US" w:eastAsia="zh-CN"/>
          <w14:textFill>
            <w14:solidFill>
              <w14:schemeClr w14:val="tx1"/>
            </w14:solidFill>
          </w14:textFill>
        </w:rPr>
        <w:t>2</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。该集中区以高新区与相城区行政边界线为界划分为南北两片，其中北片区面积3.98km</w:t>
      </w:r>
      <w:r>
        <w:rPr>
          <w:rFonts w:hint="eastAsia" w:ascii="Times New Roman" w:hAnsi="Times New Roman" w:eastAsia="仿宋_GB2312" w:cs="Times New Roman"/>
          <w:snapToGrid/>
          <w:color w:val="000000" w:themeColor="text1"/>
          <w:kern w:val="2"/>
          <w:sz w:val="28"/>
          <w:szCs w:val="22"/>
          <w:highlight w:val="none"/>
          <w:vertAlign w:val="superscript"/>
          <w:lang w:val="en-US" w:eastAsia="zh-CN"/>
          <w14:textFill>
            <w14:solidFill>
              <w14:schemeClr w14:val="tx1"/>
            </w14:solidFill>
          </w14:textFill>
        </w:rPr>
        <w:t>2</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（归相城区黄埭镇管辖），南片区2.79km</w:t>
      </w:r>
      <w:r>
        <w:rPr>
          <w:rFonts w:hint="eastAsia" w:ascii="Times New Roman" w:hAnsi="Times New Roman" w:eastAsia="仿宋_GB2312" w:cs="Times New Roman"/>
          <w:snapToGrid/>
          <w:color w:val="000000" w:themeColor="text1"/>
          <w:kern w:val="2"/>
          <w:sz w:val="28"/>
          <w:szCs w:val="22"/>
          <w:highlight w:val="none"/>
          <w:vertAlign w:val="superscript"/>
          <w:lang w:val="en-US" w:eastAsia="zh-CN"/>
          <w14:textFill>
            <w14:solidFill>
              <w14:schemeClr w14:val="tx1"/>
            </w14:solidFill>
          </w14:textFill>
        </w:rPr>
        <w:t>2</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归苏州高新区浒墅关镇管辖）。2014年5月，《苏州浒东化工集中区发展规划（2012年—2017年）环境影响报告书》通过江苏省环境保护厅审查（苏环审〔2014〕61号）。2021年1月5日，苏州市人民政府正式发文（苏府复〔2021〕3号）取消浒东化工集中区化工定位。根据浒东化工集中区（相城片区）《取消化工园区定位转型升级方案》，取消化工定位后，其全部区域纳入相城生物医药国际研发社区规划范围，规划定位为研发社区内的生物医药制造园区。</w:t>
      </w:r>
    </w:p>
    <w:p w14:paraId="11AAD9A6">
      <w:pPr>
        <w:widowControl w:val="0"/>
        <w:kinsoku/>
        <w:autoSpaceDE/>
        <w:autoSpaceDN/>
        <w:adjustRightInd/>
        <w:snapToGrid/>
        <w:spacing w:line="500" w:lineRule="exact"/>
        <w:ind w:firstLine="560" w:firstLineChars="200"/>
        <w:jc w:val="both"/>
        <w:textAlignment w:val="auto"/>
        <w:rPr>
          <w:rFonts w:hint="default"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pPr>
      <w:r>
        <w:rPr>
          <w:rFonts w:hint="default"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2019年年底，江苏省生态环境厅制定《江苏省产业园区生态环境政策集成改革试点方案》（苏环办</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〔2019〕410号</w:t>
      </w:r>
      <w:r>
        <w:rPr>
          <w:rFonts w:hint="default"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），相城高新区被选为全省十家集成改革试点园区之一，改革试点工作由黄埭镇牵头。2020年6月，相城高新区管委会将生态环境政策集成改革试点实施范围调整为黄埭、元和、黄桥3个片区，试点面积共计16.55km</w:t>
      </w:r>
      <w:r>
        <w:rPr>
          <w:rFonts w:hint="default" w:ascii="Times New Roman" w:hAnsi="Times New Roman" w:eastAsia="仿宋_GB2312" w:cs="Times New Roman"/>
          <w:snapToGrid/>
          <w:color w:val="000000" w:themeColor="text1"/>
          <w:kern w:val="2"/>
          <w:sz w:val="28"/>
          <w:szCs w:val="22"/>
          <w:highlight w:val="none"/>
          <w:vertAlign w:val="superscript"/>
          <w:lang w:val="en-US" w:eastAsia="zh-CN"/>
          <w14:textFill>
            <w14:solidFill>
              <w14:schemeClr w14:val="tx1"/>
            </w14:solidFill>
          </w14:textFill>
        </w:rPr>
        <w:t>2</w:t>
      </w:r>
      <w:r>
        <w:rPr>
          <w:rFonts w:hint="default"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，其中黄埭片区9.7km</w:t>
      </w:r>
      <w:r>
        <w:rPr>
          <w:rFonts w:hint="default" w:ascii="Times New Roman" w:hAnsi="Times New Roman" w:eastAsia="仿宋_GB2312" w:cs="Times New Roman"/>
          <w:snapToGrid/>
          <w:color w:val="000000" w:themeColor="text1"/>
          <w:kern w:val="2"/>
          <w:sz w:val="28"/>
          <w:szCs w:val="22"/>
          <w:highlight w:val="none"/>
          <w:vertAlign w:val="superscript"/>
          <w:lang w:val="en-US" w:eastAsia="zh-CN"/>
          <w14:textFill>
            <w14:solidFill>
              <w14:schemeClr w14:val="tx1"/>
            </w14:solidFill>
          </w14:textFill>
        </w:rPr>
        <w:t>2</w:t>
      </w:r>
      <w:r>
        <w:rPr>
          <w:rFonts w:hint="default"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2023年，为进一步提高相城高新区及周边区域综合发展竞争力，推动高质量发展，并做好相关区域规划及规划环评工作，经相城区人民政府同意，本次相城高新区规划及规划环评范围拓展至东至西塘河路，南至黄泥港、太阳路，西至长泰路，北至春申路，面积9.701km</w:t>
      </w:r>
      <w:r>
        <w:rPr>
          <w:rFonts w:hint="eastAsia" w:ascii="Times New Roman" w:hAnsi="Times New Roman" w:eastAsia="仿宋_GB2312" w:cs="Times New Roman"/>
          <w:snapToGrid/>
          <w:color w:val="000000" w:themeColor="text1"/>
          <w:kern w:val="2"/>
          <w:sz w:val="28"/>
          <w:szCs w:val="22"/>
          <w:highlight w:val="none"/>
          <w:vertAlign w:val="superscript"/>
          <w:lang w:val="en-US" w:eastAsia="zh-CN"/>
          <w14:textFill>
            <w14:solidFill>
              <w14:schemeClr w14:val="tx1"/>
            </w14:solidFill>
          </w14:textFill>
        </w:rPr>
        <w:t>2</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w:t>
      </w:r>
    </w:p>
    <w:p w14:paraId="2934AF55">
      <w:pPr>
        <w:pStyle w:val="6"/>
        <w:kinsoku/>
        <w:autoSpaceDE/>
        <w:autoSpaceDN/>
        <w:adjustRightInd/>
        <w:snapToGrid/>
        <w:ind w:firstLine="560"/>
        <w:textAlignment w:val="auto"/>
        <w:rPr>
          <w:snapToGrid/>
          <w:color w:val="000000" w:themeColor="text1"/>
          <w:highlight w:val="none"/>
          <w14:textFill>
            <w14:solidFill>
              <w14:schemeClr w14:val="tx1"/>
            </w14:solidFill>
          </w14:textFill>
        </w:rPr>
      </w:pPr>
      <w:r>
        <w:rPr>
          <w:rFonts w:hint="eastAsia"/>
          <w:snapToGrid/>
          <w:color w:val="000000" w:themeColor="text1"/>
          <w:highlight w:val="none"/>
          <w:lang w:val="en-US" w:eastAsia="zh-CN"/>
          <w14:textFill>
            <w14:solidFill>
              <w14:schemeClr w14:val="tx1"/>
            </w14:solidFill>
          </w14:textFill>
        </w:rPr>
        <w:t>2025年，</w:t>
      </w:r>
      <w:r>
        <w:rPr>
          <w:rFonts w:hint="eastAsia"/>
          <w:snapToGrid/>
          <w:color w:val="000000" w:themeColor="text1"/>
          <w:highlight w:val="none"/>
          <w14:textFill>
            <w14:solidFill>
              <w14:schemeClr w14:val="tx1"/>
            </w14:solidFill>
          </w14:textFill>
        </w:rPr>
        <w:t>苏州市、相城区新一轮国土空间规划均已</w:t>
      </w:r>
      <w:r>
        <w:rPr>
          <w:rFonts w:hint="eastAsia"/>
          <w:snapToGrid/>
          <w:color w:val="000000" w:themeColor="text1"/>
          <w:highlight w:val="none"/>
          <w:lang w:val="en-US" w:eastAsia="zh-CN"/>
          <w14:textFill>
            <w14:solidFill>
              <w14:schemeClr w14:val="tx1"/>
            </w14:solidFill>
          </w14:textFill>
        </w:rPr>
        <w:t>取得批复</w:t>
      </w:r>
      <w:r>
        <w:rPr>
          <w:rFonts w:hint="eastAsia"/>
          <w:snapToGrid/>
          <w:color w:val="000000" w:themeColor="text1"/>
          <w:highlight w:val="none"/>
          <w14:textFill>
            <w14:solidFill>
              <w14:schemeClr w14:val="tx1"/>
            </w14:solidFill>
          </w14:textFill>
        </w:rPr>
        <w:t>，</w:t>
      </w:r>
      <w:r>
        <w:rPr>
          <w:rFonts w:hint="eastAsia"/>
          <w:snapToGrid/>
          <w:color w:val="000000" w:themeColor="text1"/>
          <w:highlight w:val="none"/>
          <w:lang w:eastAsia="zh-CN"/>
          <w14:textFill>
            <w14:solidFill>
              <w14:schemeClr w14:val="tx1"/>
            </w14:solidFill>
          </w14:textFill>
        </w:rPr>
        <w:t>作为苏州市域内重要功能区，相城高新区需向上衔接市级国土空间总体规划与相城区级国土空间规划，向下指导后续详细规划编制；同时，结合园区实际发展需求与“三区三线”管控要求，需对区内部分用地性质、产业布局进行优化调整。为此，江苏省相城高新技术产业开发区管理委员会于2025年8月启动《江苏省相城高新技术产业开发区开发建设规划（2025</w:t>
      </w:r>
      <w:r>
        <w:rPr>
          <w:rFonts w:hint="eastAsia"/>
          <w:snapToGrid/>
          <w:color w:val="000000" w:themeColor="text1"/>
          <w:highlight w:val="none"/>
          <w:lang w:val="en-US" w:eastAsia="zh-CN"/>
          <w14:textFill>
            <w14:solidFill>
              <w14:schemeClr w14:val="tx1"/>
            </w14:solidFill>
          </w14:textFill>
        </w:rPr>
        <w:t>—</w:t>
      </w:r>
      <w:r>
        <w:rPr>
          <w:rFonts w:hint="eastAsia"/>
          <w:snapToGrid/>
          <w:color w:val="000000" w:themeColor="text1"/>
          <w:highlight w:val="none"/>
          <w:lang w:eastAsia="zh-CN"/>
          <w14:textFill>
            <w14:solidFill>
              <w14:schemeClr w14:val="tx1"/>
            </w14:solidFill>
          </w14:textFill>
        </w:rPr>
        <w:t>2035）》（以下简称“本次规划”）编制工作，并同步开展规划环境影响评价</w:t>
      </w:r>
      <w:r>
        <w:rPr>
          <w:rFonts w:hint="eastAsia"/>
          <w:snapToGrid/>
          <w:color w:val="000000" w:themeColor="text1"/>
          <w:highlight w:val="none"/>
          <w14:textFill>
            <w14:solidFill>
              <w14:schemeClr w14:val="tx1"/>
            </w14:solidFill>
          </w14:textFill>
        </w:rPr>
        <w:t>。</w:t>
      </w:r>
    </w:p>
    <w:p w14:paraId="39921ADD">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bCs/>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bCs/>
          <w:snapToGrid/>
          <w:color w:val="000000" w:themeColor="text1"/>
          <w:kern w:val="2"/>
          <w:sz w:val="28"/>
          <w:szCs w:val="22"/>
          <w:highlight w:val="none"/>
          <w:lang w:eastAsia="zh-CN"/>
          <w14:textFill>
            <w14:solidFill>
              <w14:schemeClr w14:val="tx1"/>
            </w14:solidFill>
          </w14:textFill>
        </w:rPr>
        <w:t>根据《中华人民共和国环境影响评价法》《规划环境影响评价条例》等有关法律法规的要求，江苏省相城高新技术产业开发区管理委员会委托苏州相润环境科技有限公司开展环境影响评价工作。本次规划环评在规划纲要编制阶段介入，与规划专题研究和规划编制、修改、完善进行全程互动。评价单位在对</w:t>
      </w:r>
      <w:r>
        <w:rPr>
          <w:rFonts w:hint="eastAsia" w:ascii="Times New Roman" w:hAnsi="Times New Roman" w:eastAsia="仿宋_GB2312" w:cs="Times New Roman"/>
          <w:bCs/>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bCs/>
          <w:snapToGrid/>
          <w:color w:val="000000" w:themeColor="text1"/>
          <w:kern w:val="2"/>
          <w:sz w:val="28"/>
          <w:szCs w:val="22"/>
          <w:highlight w:val="none"/>
          <w:lang w:eastAsia="zh-CN"/>
          <w14:textFill>
            <w14:solidFill>
              <w14:schemeClr w14:val="tx1"/>
            </w14:solidFill>
          </w14:textFill>
        </w:rPr>
        <w:t>区进行现场踏勘、收集有关资料、开展专题研究和广泛征询意见等工作的基础上，编制完成《江苏省相城高新技术产业开发区开发建设规划（2025</w:t>
      </w:r>
      <w:r>
        <w:rPr>
          <w:rFonts w:hint="eastAsia" w:ascii="Times New Roman" w:hAnsi="Times New Roman" w:eastAsia="仿宋_GB2312" w:cs="Times New Roman"/>
          <w:bCs/>
          <w:snapToGrid/>
          <w:color w:val="000000" w:themeColor="text1"/>
          <w:kern w:val="2"/>
          <w:sz w:val="28"/>
          <w:szCs w:val="22"/>
          <w:highlight w:val="none"/>
          <w:lang w:val="en-US" w:eastAsia="zh-CN"/>
          <w14:textFill>
            <w14:solidFill>
              <w14:schemeClr w14:val="tx1"/>
            </w14:solidFill>
          </w14:textFill>
        </w:rPr>
        <w:t>—</w:t>
      </w:r>
      <w:r>
        <w:rPr>
          <w:rFonts w:hint="eastAsia" w:ascii="Times New Roman" w:hAnsi="Times New Roman" w:eastAsia="仿宋_GB2312" w:cs="Times New Roman"/>
          <w:bCs/>
          <w:snapToGrid/>
          <w:color w:val="000000" w:themeColor="text1"/>
          <w:kern w:val="2"/>
          <w:sz w:val="28"/>
          <w:szCs w:val="22"/>
          <w:highlight w:val="none"/>
          <w:lang w:eastAsia="zh-CN"/>
          <w14:textFill>
            <w14:solidFill>
              <w14:schemeClr w14:val="tx1"/>
            </w14:solidFill>
          </w14:textFill>
        </w:rPr>
        <w:t>2035）环境影响报告书》。</w:t>
      </w:r>
    </w:p>
    <w:p w14:paraId="46D927B8">
      <w:pPr>
        <w:pStyle w:val="4"/>
        <w:widowControl w:val="0"/>
        <w:numPr>
          <w:ilvl w:val="1"/>
          <w:numId w:val="2"/>
        </w:numPr>
        <w:kinsoku/>
        <w:autoSpaceDE/>
        <w:autoSpaceDN/>
        <w:adjustRightInd/>
        <w:snapToGrid/>
        <w:spacing w:before="156" w:after="156" w:line="500" w:lineRule="exact"/>
        <w:ind w:left="567" w:leftChars="0" w:hanging="567" w:firstLineChars="0"/>
        <w:jc w:val="both"/>
        <w:textAlignment w:val="auto"/>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pPr>
      <w:bookmarkStart w:id="14" w:name="_Toc16877"/>
      <w:r>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t>规划范围和期限</w:t>
      </w:r>
      <w:bookmarkEnd w:id="14"/>
    </w:p>
    <w:p w14:paraId="7C2345DA">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（1）规划范围</w:t>
      </w:r>
    </w:p>
    <w:p w14:paraId="1258FB81">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规划范围为江苏省相城高新技术产业开发区行政辖区范围，四</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至</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边界为东至西塘河路，南至黄泥港，西至长泰路，北至春申路，总用地面积约为9.7</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01</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平方公里。</w:t>
      </w:r>
    </w:p>
    <w:p w14:paraId="03A342EE">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（2）规划期限</w:t>
      </w:r>
    </w:p>
    <w:p w14:paraId="1F101AC3">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本次规划期限为202</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5—</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2035年，规划近期：202</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5—</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20</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30</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年，规划远期：20</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31—</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2035年。</w:t>
      </w:r>
    </w:p>
    <w:p w14:paraId="6EC79844">
      <w:pPr>
        <w:widowControl w:val="0"/>
        <w:kinsoku/>
        <w:autoSpaceDE/>
        <w:autoSpaceDN/>
        <w:adjustRightInd/>
        <w:snapToGrid/>
        <w:spacing w:line="500" w:lineRule="exact"/>
        <w:ind w:firstLine="560" w:firstLineChars="200"/>
        <w:jc w:val="both"/>
        <w:textAlignment w:val="auto"/>
        <w:rPr>
          <w:rFonts w:ascii="FangSong_GB2312" w:hAnsi="FangSong_GB2312" w:eastAsia="FangSong_GB2312" w:cs="FangSong_GB2312"/>
          <w:sz w:val="28"/>
          <w:szCs w:val="28"/>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规划基准年为202</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4</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年。</w:t>
      </w:r>
    </w:p>
    <w:p w14:paraId="7DD01EC1">
      <w:pPr>
        <w:pStyle w:val="4"/>
        <w:widowControl w:val="0"/>
        <w:numPr>
          <w:ilvl w:val="1"/>
          <w:numId w:val="2"/>
        </w:numPr>
        <w:kinsoku/>
        <w:autoSpaceDE/>
        <w:autoSpaceDN/>
        <w:adjustRightInd/>
        <w:snapToGrid/>
        <w:spacing w:before="156" w:after="156" w:line="500" w:lineRule="exact"/>
        <w:ind w:left="567" w:leftChars="0" w:hanging="567" w:firstLineChars="0"/>
        <w:jc w:val="both"/>
        <w:textAlignment w:val="auto"/>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pPr>
      <w:bookmarkStart w:id="15" w:name="_Toc6850"/>
      <w:r>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t>发展目标</w:t>
      </w:r>
      <w:bookmarkEnd w:id="15"/>
    </w:p>
    <w:p w14:paraId="6E138092">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根据区域发展对</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高新区</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的要求和自身的资源禀赋，同时结合实际发展情况，本次规划确定</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高新区</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的总体发展目标为：</w:t>
      </w:r>
    </w:p>
    <w:p w14:paraId="46B81F01">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b w:val="0"/>
          <w:bCs w:val="0"/>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b w:val="0"/>
          <w:bCs w:val="0"/>
          <w:snapToGrid/>
          <w:color w:val="000000" w:themeColor="text1"/>
          <w:kern w:val="2"/>
          <w:sz w:val="28"/>
          <w:szCs w:val="22"/>
          <w:highlight w:val="none"/>
          <w:lang w:eastAsia="zh-CN"/>
          <w14:textFill>
            <w14:solidFill>
              <w14:schemeClr w14:val="tx1"/>
            </w14:solidFill>
          </w14:textFill>
        </w:rPr>
        <w:t>贯彻新发展理念，积极抢抓长三角一体化、沪苏同城等重大机遇，紧紧围绕相城区“12345”战略思路，以经济为基础，以水为纽带，以文化为内核，努力把相城高新区建设成为经济繁荣、功能完善、交通便捷、环境优美、社会和谐的长三角一二三产融合发展示范区。</w:t>
      </w:r>
    </w:p>
    <w:p w14:paraId="02285B71">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形成“一核三片六区”的“相城城市副中心”引领区域创新产业的发展，重塑苏州北部宜居生态城区，通过服务极核的塑造推动创新升级，争创产城融合的相城副中心。</w:t>
      </w:r>
    </w:p>
    <w:p w14:paraId="24F634EB">
      <w:pPr>
        <w:pStyle w:val="4"/>
        <w:widowControl w:val="0"/>
        <w:numPr>
          <w:ilvl w:val="1"/>
          <w:numId w:val="2"/>
        </w:numPr>
        <w:kinsoku/>
        <w:autoSpaceDE/>
        <w:autoSpaceDN/>
        <w:adjustRightInd/>
        <w:snapToGrid/>
        <w:spacing w:before="156" w:after="156" w:line="500" w:lineRule="exact"/>
        <w:ind w:left="567" w:leftChars="0" w:hanging="567" w:firstLineChars="0"/>
        <w:jc w:val="both"/>
        <w:textAlignment w:val="auto"/>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pPr>
      <w:bookmarkStart w:id="16" w:name="_Toc27043"/>
      <w:r>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t>产业定位</w:t>
      </w:r>
      <w:bookmarkEnd w:id="16"/>
    </w:p>
    <w:p w14:paraId="13DAB3E8">
      <w:pPr>
        <w:widowControl w:val="0"/>
        <w:kinsoku/>
        <w:autoSpaceDE/>
        <w:autoSpaceDN/>
        <w:adjustRightInd/>
        <w:snapToGrid/>
        <w:spacing w:line="500" w:lineRule="exact"/>
        <w:ind w:firstLine="562" w:firstLineChars="200"/>
        <w:jc w:val="both"/>
        <w:textAlignment w:val="auto"/>
        <w:rPr>
          <w:rFonts w:ascii="Times New Roman" w:hAnsi="Arial" w:eastAsia="仿宋_GB2312" w:cs="Times New Roman"/>
          <w:b/>
          <w:bCs/>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b/>
          <w:bCs/>
          <w:snapToGrid/>
          <w:color w:val="000000" w:themeColor="text1"/>
          <w:kern w:val="2"/>
          <w:sz w:val="28"/>
          <w:szCs w:val="22"/>
          <w:highlight w:val="none"/>
          <w:lang w:eastAsia="zh-CN"/>
          <w14:textFill>
            <w14:solidFill>
              <w14:schemeClr w14:val="tx1"/>
            </w14:solidFill>
          </w14:textFill>
        </w:rPr>
        <w:t>（1）以“四大核心”产业为主导</w:t>
      </w:r>
    </w:p>
    <w:p w14:paraId="0D05F93B">
      <w:pPr>
        <w:widowControl w:val="0"/>
        <w:kinsoku/>
        <w:autoSpaceDE/>
        <w:autoSpaceDN/>
        <w:adjustRightInd/>
        <w:snapToGrid/>
        <w:spacing w:line="500" w:lineRule="exact"/>
        <w:ind w:firstLine="560" w:firstLineChars="200"/>
        <w:jc w:val="both"/>
        <w:textAlignment w:val="auto"/>
        <w:rPr>
          <w:rFonts w:ascii="Times New Roman" w:hAnsi="Arial"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Arial" w:eastAsia="仿宋_GB2312" w:cs="Times New Roman"/>
          <w:snapToGrid/>
          <w:color w:val="000000" w:themeColor="text1"/>
          <w:kern w:val="2"/>
          <w:sz w:val="28"/>
          <w:szCs w:val="22"/>
          <w:highlight w:val="none"/>
          <w:lang w:eastAsia="zh-CN"/>
          <w14:textFill>
            <w14:solidFill>
              <w14:schemeClr w14:val="tx1"/>
            </w14:solidFill>
          </w14:textFill>
        </w:rPr>
        <w:t>充分发挥区位条件、资源禀赋等优势，以创新为动力，以市场为导向，按照产业集聚的原则，突出资源和能源的节约集约利用，构建“四大核心”的现代产业格局，即以生物医药、先进材料、光电信息、智能制造为核心优势作为地区主导产业。</w:t>
      </w:r>
    </w:p>
    <w:p w14:paraId="132B8350">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①</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生物医药</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产业</w:t>
      </w:r>
    </w:p>
    <w:p w14:paraId="6C4A5FA1">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细分领域为：医疗器械、医疗设备、生物制剂、健康科技、健康服务等作为重点领域予以重视；</w:t>
      </w:r>
    </w:p>
    <w:p w14:paraId="201BB5A7">
      <w:pPr>
        <w:widowControl w:val="0"/>
        <w:kinsoku/>
        <w:autoSpaceDE/>
        <w:autoSpaceDN/>
        <w:adjustRightInd/>
        <w:snapToGrid/>
        <w:spacing w:line="500" w:lineRule="exact"/>
        <w:ind w:firstLine="560" w:firstLineChars="200"/>
        <w:jc w:val="both"/>
        <w:textAlignment w:val="auto"/>
        <w:rPr>
          <w:rFonts w:hint="default"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②</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先进材料产业</w:t>
      </w:r>
    </w:p>
    <w:p w14:paraId="7EDD2D93">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细分领域为：先进电子、高性能纤维、工程材料、航空航天材料、碳基复合材料等作为重点领域予以高度重视；</w:t>
      </w:r>
    </w:p>
    <w:p w14:paraId="18D0D233">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③</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光电信息产业</w:t>
      </w:r>
    </w:p>
    <w:p w14:paraId="3914F00A">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细分领域为：光通信（光模块、光器件）、IC设计（交换芯片、消费芯片）等为重点领域予以高度重视；</w:t>
      </w:r>
    </w:p>
    <w:p w14:paraId="2E0978E3">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④</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智能制造产业</w:t>
      </w:r>
    </w:p>
    <w:p w14:paraId="22692AE7">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细分领域为：汽车零部件、智能车联、智能传感、工业互联、系统集成商、智能装备、工业数据库和云计算等作为重点领域予以高度重视。</w:t>
      </w:r>
    </w:p>
    <w:p w14:paraId="3E00635E">
      <w:pPr>
        <w:widowControl w:val="0"/>
        <w:kinsoku/>
        <w:autoSpaceDE/>
        <w:autoSpaceDN/>
        <w:adjustRightInd/>
        <w:snapToGrid/>
        <w:spacing w:line="500" w:lineRule="exact"/>
        <w:ind w:firstLine="562" w:firstLineChars="200"/>
        <w:jc w:val="both"/>
        <w:textAlignment w:val="auto"/>
        <w:rPr>
          <w:rFonts w:ascii="Times New Roman" w:hAnsi="Times New Roman" w:eastAsia="仿宋_GB2312" w:cs="Times New Roman"/>
          <w:b/>
          <w:bCs/>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b/>
          <w:bCs/>
          <w:snapToGrid/>
          <w:color w:val="000000" w:themeColor="text1"/>
          <w:kern w:val="2"/>
          <w:sz w:val="28"/>
          <w:szCs w:val="22"/>
          <w:highlight w:val="none"/>
          <w:lang w:eastAsia="zh-CN"/>
          <w14:textFill>
            <w14:solidFill>
              <w14:schemeClr w14:val="tx1"/>
            </w14:solidFill>
          </w14:textFill>
        </w:rPr>
        <w:t>（2）品牌名片产业“</w:t>
      </w:r>
      <w:r>
        <w:rPr>
          <w:rFonts w:ascii="Times New Roman" w:hAnsi="Times New Roman" w:eastAsia="仿宋_GB2312" w:cs="Times New Roman"/>
          <w:b/>
          <w:bCs/>
          <w:snapToGrid/>
          <w:color w:val="000000" w:themeColor="text1"/>
          <w:kern w:val="2"/>
          <w:sz w:val="28"/>
          <w:szCs w:val="22"/>
          <w:highlight w:val="none"/>
          <w:lang w:eastAsia="zh-CN"/>
          <w14:textFill>
            <w14:solidFill>
              <w14:schemeClr w14:val="tx1"/>
            </w14:solidFill>
          </w14:textFill>
        </w:rPr>
        <w:t>X</w:t>
      </w:r>
      <w:r>
        <w:rPr>
          <w:rFonts w:hint="eastAsia" w:ascii="Times New Roman" w:hAnsi="Times New Roman" w:eastAsia="仿宋_GB2312" w:cs="Times New Roman"/>
          <w:b/>
          <w:bCs/>
          <w:snapToGrid/>
          <w:color w:val="000000" w:themeColor="text1"/>
          <w:kern w:val="2"/>
          <w:sz w:val="28"/>
          <w:szCs w:val="22"/>
          <w:highlight w:val="none"/>
          <w:lang w:eastAsia="zh-CN"/>
          <w14:textFill>
            <w14:solidFill>
              <w14:schemeClr w14:val="tx1"/>
            </w14:solidFill>
          </w14:textFill>
        </w:rPr>
        <w:t>”</w:t>
      </w:r>
    </w:p>
    <w:p w14:paraId="782BA22A">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“3+X”的“核心优势产业 品牌名片产业”的联动发展体系，具有较强的逻辑联系和发展内涵：</w:t>
      </w:r>
    </w:p>
    <w:p w14:paraId="72EBC6C1">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优势产业是片区的主体和骨架，能否正确地选择优势产业，关系到片区的发展方向、速度、边界、空间和综合实力；品牌名片产业代表新一轮科技革命和产业升级的方向，是片区未来发展中起支持作用的产业，它的形成和发展，直接关系到片区的产业接替、发展后劲，是培育发展新动能、获取竞争新优势的关键领域；特色产业是片区一二三产融合，为产业提供整体服务，增强城市辐射带动功能的关键。</w:t>
      </w:r>
    </w:p>
    <w:p w14:paraId="20426246">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数字产业与生物医药、光电信息、新材料、智能装备产业优势互补，是时代发展的必然趋势，应推进数字金融、数字城市、航空航天等产业，作为新型产业发展链的补充领域。</w:t>
      </w:r>
    </w:p>
    <w:p w14:paraId="390742DA">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现代服务业、现代综合农业是填补片区产业发展空白，促进一二三产融合、产城融合、产融结合，整体提升园区发展水平的关键领域。</w:t>
      </w:r>
    </w:p>
    <w:p w14:paraId="7DA73506">
      <w:pPr>
        <w:pStyle w:val="4"/>
        <w:widowControl w:val="0"/>
        <w:numPr>
          <w:ilvl w:val="1"/>
          <w:numId w:val="2"/>
        </w:numPr>
        <w:kinsoku/>
        <w:autoSpaceDE/>
        <w:autoSpaceDN/>
        <w:adjustRightInd/>
        <w:snapToGrid/>
        <w:spacing w:before="156" w:after="156" w:line="500" w:lineRule="exact"/>
        <w:ind w:left="567" w:leftChars="0" w:hanging="567" w:firstLineChars="0"/>
        <w:jc w:val="both"/>
        <w:textAlignment w:val="auto"/>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pPr>
      <w:bookmarkStart w:id="17" w:name="_Toc26897"/>
      <w:r>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t>基础设施规划</w:t>
      </w:r>
      <w:bookmarkEnd w:id="17"/>
    </w:p>
    <w:p w14:paraId="2C693766">
      <w:pPr>
        <w:pStyle w:val="2"/>
        <w:numPr>
          <w:ilvl w:val="2"/>
          <w:numId w:val="2"/>
        </w:numPr>
        <w:kinsoku/>
        <w:autoSpaceDE/>
        <w:autoSpaceDN/>
        <w:adjustRightInd/>
        <w:snapToGrid/>
        <w:spacing w:before="120" w:after="120"/>
        <w:ind w:left="0" w:leftChars="0" w:firstLine="0" w:firstLineChars="0"/>
        <w:textAlignment w:val="auto"/>
        <w:rPr>
          <w:snapToGrid/>
          <w:color w:val="000000" w:themeColor="text1"/>
          <w:highlight w:val="none"/>
          <w14:textFill>
            <w14:solidFill>
              <w14:schemeClr w14:val="tx1"/>
            </w14:solidFill>
          </w14:textFill>
        </w:rPr>
      </w:pPr>
      <w:bookmarkStart w:id="18" w:name="_Toc32264"/>
      <w:r>
        <w:rPr>
          <w:snapToGrid/>
          <w:color w:val="000000" w:themeColor="text1"/>
          <w:highlight w:val="none"/>
          <w14:textFill>
            <w14:solidFill>
              <w14:schemeClr w14:val="tx1"/>
            </w14:solidFill>
          </w14:textFill>
        </w:rPr>
        <w:t>给水工程规划</w:t>
      </w:r>
      <w:bookmarkEnd w:id="18"/>
    </w:p>
    <w:p w14:paraId="2A83C36E">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相城高新技术产业开发区以太湖为水源，以相城水厂供水为主，以苏州市白洋湾水厂作为补充</w:t>
      </w:r>
      <w:r>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充分利用现状给水干管，分期改造部分给水主次干管。给水干管沿主、次干道环状布置为主，确保供水安全。保留沿京沪高速的DN1200区域供水干管，规划沿太阳路新建DN1200区域供水干管。规划区内给水干管沿春旺路、春秋路和冯梦龙大道布置，管径DN800～DN400，给水支管管径为DN400～DN200。各级管道形成环网，以满足区内各地块用水及室外消防安全用水需求</w:t>
      </w:r>
      <w:r>
        <w:rPr>
          <w:rFonts w:hint="eastAsia" w:ascii="Times New Roman" w:hAnsi="Arial" w:eastAsia="仿宋_GB2312" w:cs="Times New Roman"/>
          <w:snapToGrid/>
          <w:color w:val="000000" w:themeColor="text1"/>
          <w:kern w:val="2"/>
          <w:sz w:val="28"/>
          <w:szCs w:val="22"/>
          <w:highlight w:val="none"/>
          <w:lang w:eastAsia="zh-CN"/>
          <w14:textFill>
            <w14:solidFill>
              <w14:schemeClr w14:val="tx1"/>
            </w14:solidFill>
          </w14:textFill>
        </w:rPr>
        <w:t>。</w:t>
      </w:r>
    </w:p>
    <w:p w14:paraId="50B3FF49">
      <w:pPr>
        <w:pStyle w:val="2"/>
        <w:numPr>
          <w:ilvl w:val="2"/>
          <w:numId w:val="2"/>
        </w:numPr>
        <w:kinsoku/>
        <w:autoSpaceDE/>
        <w:autoSpaceDN/>
        <w:adjustRightInd/>
        <w:snapToGrid/>
        <w:spacing w:before="120" w:after="120"/>
        <w:ind w:left="0" w:leftChars="0" w:firstLine="0" w:firstLineChars="0"/>
        <w:textAlignment w:val="auto"/>
        <w:rPr>
          <w:snapToGrid/>
          <w:color w:val="000000" w:themeColor="text1"/>
          <w:highlight w:val="none"/>
          <w14:textFill>
            <w14:solidFill>
              <w14:schemeClr w14:val="tx1"/>
            </w14:solidFill>
          </w14:textFill>
        </w:rPr>
      </w:pPr>
      <w:bookmarkStart w:id="19" w:name="_Toc16140"/>
      <w:r>
        <w:rPr>
          <w:rFonts w:hint="eastAsia"/>
          <w:snapToGrid/>
          <w:color w:val="000000" w:themeColor="text1"/>
          <w:highlight w:val="none"/>
          <w14:textFill>
            <w14:solidFill>
              <w14:schemeClr w14:val="tx1"/>
            </w14:solidFill>
          </w14:textFill>
        </w:rPr>
        <w:t>排水</w:t>
      </w:r>
      <w:r>
        <w:rPr>
          <w:snapToGrid/>
          <w:color w:val="000000" w:themeColor="text1"/>
          <w:highlight w:val="none"/>
          <w14:textFill>
            <w14:solidFill>
              <w14:schemeClr w14:val="tx1"/>
            </w14:solidFill>
          </w14:textFill>
        </w:rPr>
        <w:t>工程规划</w:t>
      </w:r>
      <w:bookmarkEnd w:id="19"/>
    </w:p>
    <w:p w14:paraId="638DF526">
      <w:pPr>
        <w:widowControl w:val="0"/>
        <w:numPr>
          <w:ilvl w:val="0"/>
          <w:numId w:val="3"/>
        </w:numPr>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污水工程</w:t>
      </w:r>
    </w:p>
    <w:p w14:paraId="2D88E377">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①污水工程规划</w:t>
      </w:r>
    </w:p>
    <w:p w14:paraId="33D8018F">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规划区实行雨污分流制，废水</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全部</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接入</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黄埭水质净化厂</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集中处理后达标排放。</w:t>
      </w:r>
    </w:p>
    <w:p w14:paraId="77EBD4BF">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黄埭水质净化厂</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综合废水的设计处理规模为11万吨/天；工业废水服务范围暂定为黄埭生物医药国际研发社区内企业产生的工业废水以及服务范围内满足一企一管重点监管单位产生的工业废水，设计处理规模为</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1</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万吨/天。于</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原污水处理厂位置规划转输泵站两处，分别为东桥污水厂转输泵站（1.8万m</w:t>
      </w:r>
      <w:r>
        <w:rPr>
          <w:rFonts w:hint="eastAsia" w:ascii="Times New Roman" w:hAnsi="Times New Roman" w:eastAsia="仿宋_GB2312" w:cs="Times New Roman"/>
          <w:snapToGrid/>
          <w:color w:val="000000" w:themeColor="text1"/>
          <w:kern w:val="2"/>
          <w:sz w:val="28"/>
          <w:szCs w:val="22"/>
          <w:highlight w:val="none"/>
          <w:vertAlign w:val="superscript"/>
          <w:lang w:val="en-US" w:eastAsia="zh-CN"/>
          <w14:textFill>
            <w14:solidFill>
              <w14:schemeClr w14:val="tx1"/>
            </w14:solidFill>
          </w14:textFill>
        </w:rPr>
        <w:t>3</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/d）和黄埭污水厂转输泵站（6万m</w:t>
      </w:r>
      <w:r>
        <w:rPr>
          <w:rFonts w:hint="eastAsia" w:ascii="Times New Roman" w:hAnsi="Times New Roman" w:eastAsia="仿宋_GB2312" w:cs="Times New Roman"/>
          <w:snapToGrid/>
          <w:color w:val="000000" w:themeColor="text1"/>
          <w:kern w:val="2"/>
          <w:sz w:val="28"/>
          <w:szCs w:val="22"/>
          <w:highlight w:val="none"/>
          <w:vertAlign w:val="superscript"/>
          <w:lang w:val="en-US" w:eastAsia="zh-CN"/>
          <w14:textFill>
            <w14:solidFill>
              <w14:schemeClr w14:val="tx1"/>
            </w14:solidFill>
          </w14:textFill>
        </w:rPr>
        <w:t>3</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/d）</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w:t>
      </w:r>
    </w:p>
    <w:p w14:paraId="659868C3">
      <w:pPr>
        <w:pStyle w:val="18"/>
        <w:kinsoku/>
        <w:autoSpaceDE/>
        <w:autoSpaceDN/>
        <w:textAlignment w:val="auto"/>
        <w:rPr>
          <w:snapToGrid/>
          <w:color w:val="000000" w:themeColor="text1"/>
          <w:highlight w:val="none"/>
          <w14:textFill>
            <w14:solidFill>
              <w14:schemeClr w14:val="tx1"/>
            </w14:solidFill>
          </w14:textFill>
        </w:rPr>
      </w:pPr>
      <w:r>
        <w:rPr>
          <w:rFonts w:hint="eastAsia"/>
          <w:snapToGrid/>
          <w:color w:val="000000" w:themeColor="text1"/>
          <w:highlight w:val="none"/>
          <w14:textFill>
            <w14:solidFill>
              <w14:schemeClr w14:val="tx1"/>
            </w14:solidFill>
          </w14:textFill>
        </w:rPr>
        <w:t>表</w:t>
      </w:r>
      <w:r>
        <w:rPr>
          <w:rFonts w:hint="eastAsia"/>
          <w:snapToGrid/>
          <w:color w:val="000000" w:themeColor="text1"/>
          <w:highlight w:val="none"/>
          <w:lang w:val="en-US" w:eastAsia="zh-CN"/>
          <w14:textFill>
            <w14:solidFill>
              <w14:schemeClr w14:val="tx1"/>
            </w14:solidFill>
          </w14:textFill>
        </w:rPr>
        <w:t xml:space="preserve">1.5-1 </w:t>
      </w:r>
      <w:r>
        <w:rPr>
          <w:rFonts w:hint="eastAsia"/>
          <w:snapToGrid/>
          <w:color w:val="000000" w:themeColor="text1"/>
          <w:highlight w:val="none"/>
          <w14:textFill>
            <w14:solidFill>
              <w14:schemeClr w14:val="tx1"/>
            </w14:solidFill>
          </w14:textFill>
        </w:rPr>
        <w:t xml:space="preserve"> 规划污水处理设施一览表</w:t>
      </w:r>
    </w:p>
    <w:tbl>
      <w:tblPr>
        <w:tblStyle w:val="1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9"/>
        <w:gridCol w:w="1698"/>
        <w:gridCol w:w="1614"/>
        <w:gridCol w:w="1743"/>
        <w:gridCol w:w="1601"/>
        <w:gridCol w:w="1506"/>
      </w:tblGrid>
      <w:tr w14:paraId="5E01E2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501" w:type="dxa"/>
            <w:tcBorders>
              <w:tl2br w:val="nil"/>
              <w:tr2bl w:val="nil"/>
            </w:tcBorders>
            <w:noWrap/>
            <w:vAlign w:val="center"/>
          </w:tcPr>
          <w:p w14:paraId="78066FED">
            <w:pPr>
              <w:pStyle w:val="19"/>
              <w:kinsoku/>
              <w:autoSpaceDE/>
              <w:autoSpaceDN/>
              <w:textAlignment w:val="auto"/>
              <w:rPr>
                <w:b/>
                <w:bCs w:val="0"/>
                <w:snapToGrid/>
                <w:color w:val="000000" w:themeColor="text1"/>
                <w:highlight w:val="none"/>
                <w14:textFill>
                  <w14:solidFill>
                    <w14:schemeClr w14:val="tx1"/>
                  </w14:solidFill>
                </w14:textFill>
              </w:rPr>
            </w:pPr>
            <w:r>
              <w:rPr>
                <w:rFonts w:hint="eastAsia"/>
                <w:b/>
                <w:bCs w:val="0"/>
                <w:snapToGrid/>
                <w:color w:val="000000" w:themeColor="text1"/>
                <w:highlight w:val="none"/>
                <w14:textFill>
                  <w14:solidFill>
                    <w14:schemeClr w14:val="tx1"/>
                  </w14:solidFill>
                </w14:textFill>
              </w:rPr>
              <w:t>序号</w:t>
            </w:r>
          </w:p>
        </w:tc>
        <w:tc>
          <w:tcPr>
            <w:tcW w:w="1850" w:type="dxa"/>
            <w:tcBorders>
              <w:tl2br w:val="nil"/>
              <w:tr2bl w:val="nil"/>
            </w:tcBorders>
            <w:noWrap/>
            <w:vAlign w:val="center"/>
          </w:tcPr>
          <w:p w14:paraId="2EB8CE26">
            <w:pPr>
              <w:pStyle w:val="19"/>
              <w:kinsoku/>
              <w:autoSpaceDE/>
              <w:autoSpaceDN/>
              <w:textAlignment w:val="auto"/>
              <w:rPr>
                <w:b/>
                <w:bCs w:val="0"/>
                <w:snapToGrid/>
                <w:color w:val="000000" w:themeColor="text1"/>
                <w:highlight w:val="none"/>
                <w14:textFill>
                  <w14:solidFill>
                    <w14:schemeClr w14:val="tx1"/>
                  </w14:solidFill>
                </w14:textFill>
              </w:rPr>
            </w:pPr>
            <w:r>
              <w:rPr>
                <w:rFonts w:hint="eastAsia"/>
                <w:b/>
                <w:bCs w:val="0"/>
                <w:snapToGrid/>
                <w:color w:val="000000" w:themeColor="text1"/>
                <w:highlight w:val="none"/>
                <w14:textFill>
                  <w14:solidFill>
                    <w14:schemeClr w14:val="tx1"/>
                  </w14:solidFill>
                </w14:textFill>
              </w:rPr>
              <w:t>名称</w:t>
            </w:r>
          </w:p>
        </w:tc>
        <w:tc>
          <w:tcPr>
            <w:tcW w:w="1759" w:type="dxa"/>
            <w:tcBorders>
              <w:tl2br w:val="nil"/>
              <w:tr2bl w:val="nil"/>
            </w:tcBorders>
            <w:vAlign w:val="center"/>
          </w:tcPr>
          <w:p w14:paraId="1982604D">
            <w:pPr>
              <w:pStyle w:val="19"/>
              <w:kinsoku/>
              <w:autoSpaceDE/>
              <w:autoSpaceDN/>
              <w:textAlignment w:val="auto"/>
              <w:rPr>
                <w:b/>
                <w:bCs w:val="0"/>
                <w:snapToGrid/>
                <w:color w:val="000000" w:themeColor="text1"/>
                <w:highlight w:val="none"/>
                <w14:textFill>
                  <w14:solidFill>
                    <w14:schemeClr w14:val="tx1"/>
                  </w14:solidFill>
                </w14:textFill>
              </w:rPr>
            </w:pPr>
            <w:r>
              <w:rPr>
                <w:rFonts w:hint="eastAsia"/>
                <w:b/>
                <w:bCs w:val="0"/>
                <w:snapToGrid/>
                <w:color w:val="000000" w:themeColor="text1"/>
                <w:highlight w:val="none"/>
                <w14:textFill>
                  <w14:solidFill>
                    <w14:schemeClr w14:val="tx1"/>
                  </w14:solidFill>
                </w14:textFill>
              </w:rPr>
              <w:t>现状处理规模</w:t>
            </w:r>
          </w:p>
          <w:p w14:paraId="61573541">
            <w:pPr>
              <w:pStyle w:val="19"/>
              <w:kinsoku/>
              <w:autoSpaceDE/>
              <w:autoSpaceDN/>
              <w:textAlignment w:val="auto"/>
              <w:rPr>
                <w:b/>
                <w:bCs w:val="0"/>
                <w:snapToGrid/>
                <w:color w:val="000000" w:themeColor="text1"/>
                <w:highlight w:val="none"/>
                <w14:textFill>
                  <w14:solidFill>
                    <w14:schemeClr w14:val="tx1"/>
                  </w14:solidFill>
                </w14:textFill>
              </w:rPr>
            </w:pPr>
            <w:r>
              <w:rPr>
                <w:rFonts w:hint="eastAsia"/>
                <w:b/>
                <w:bCs w:val="0"/>
                <w:snapToGrid/>
                <w:color w:val="000000" w:themeColor="text1"/>
                <w:highlight w:val="none"/>
                <w14:textFill>
                  <w14:solidFill>
                    <w14:schemeClr w14:val="tx1"/>
                  </w14:solidFill>
                </w14:textFill>
              </w:rPr>
              <w:t>（万m³/d）</w:t>
            </w:r>
          </w:p>
        </w:tc>
        <w:tc>
          <w:tcPr>
            <w:tcW w:w="1900" w:type="dxa"/>
            <w:tcBorders>
              <w:tl2br w:val="nil"/>
              <w:tr2bl w:val="nil"/>
            </w:tcBorders>
            <w:vAlign w:val="center"/>
          </w:tcPr>
          <w:p w14:paraId="716C538D">
            <w:pPr>
              <w:pStyle w:val="19"/>
              <w:kinsoku/>
              <w:autoSpaceDE/>
              <w:autoSpaceDN/>
              <w:textAlignment w:val="auto"/>
              <w:rPr>
                <w:b/>
                <w:bCs w:val="0"/>
                <w:snapToGrid/>
                <w:color w:val="000000" w:themeColor="text1"/>
                <w:highlight w:val="none"/>
                <w14:textFill>
                  <w14:solidFill>
                    <w14:schemeClr w14:val="tx1"/>
                  </w14:solidFill>
                </w14:textFill>
              </w:rPr>
            </w:pPr>
            <w:r>
              <w:rPr>
                <w:rFonts w:hint="eastAsia"/>
                <w:b/>
                <w:bCs w:val="0"/>
                <w:snapToGrid/>
                <w:color w:val="000000" w:themeColor="text1"/>
                <w:highlight w:val="none"/>
                <w14:textFill>
                  <w14:solidFill>
                    <w14:schemeClr w14:val="tx1"/>
                  </w14:solidFill>
                </w14:textFill>
              </w:rPr>
              <w:t>近期处理规模</w:t>
            </w:r>
          </w:p>
          <w:p w14:paraId="1D508605">
            <w:pPr>
              <w:pStyle w:val="19"/>
              <w:kinsoku/>
              <w:autoSpaceDE/>
              <w:autoSpaceDN/>
              <w:textAlignment w:val="auto"/>
              <w:rPr>
                <w:b/>
                <w:bCs w:val="0"/>
                <w:snapToGrid/>
                <w:color w:val="000000" w:themeColor="text1"/>
                <w:highlight w:val="none"/>
                <w14:textFill>
                  <w14:solidFill>
                    <w14:schemeClr w14:val="tx1"/>
                  </w14:solidFill>
                </w14:textFill>
              </w:rPr>
            </w:pPr>
            <w:r>
              <w:rPr>
                <w:rFonts w:hint="eastAsia"/>
                <w:b/>
                <w:bCs w:val="0"/>
                <w:snapToGrid/>
                <w:color w:val="000000" w:themeColor="text1"/>
                <w:highlight w:val="none"/>
                <w14:textFill>
                  <w14:solidFill>
                    <w14:schemeClr w14:val="tx1"/>
                  </w14:solidFill>
                </w14:textFill>
              </w:rPr>
              <w:t>（万m³/d）</w:t>
            </w:r>
          </w:p>
        </w:tc>
        <w:tc>
          <w:tcPr>
            <w:tcW w:w="1744" w:type="dxa"/>
            <w:tcBorders>
              <w:tl2br w:val="nil"/>
              <w:tr2bl w:val="nil"/>
            </w:tcBorders>
            <w:vAlign w:val="center"/>
          </w:tcPr>
          <w:p w14:paraId="2C113466">
            <w:pPr>
              <w:pStyle w:val="19"/>
              <w:kinsoku/>
              <w:autoSpaceDE/>
              <w:autoSpaceDN/>
              <w:textAlignment w:val="auto"/>
              <w:rPr>
                <w:b/>
                <w:bCs w:val="0"/>
                <w:snapToGrid/>
                <w:color w:val="000000" w:themeColor="text1"/>
                <w:highlight w:val="none"/>
                <w14:textFill>
                  <w14:solidFill>
                    <w14:schemeClr w14:val="tx1"/>
                  </w14:solidFill>
                </w14:textFill>
              </w:rPr>
            </w:pPr>
            <w:r>
              <w:rPr>
                <w:rFonts w:hint="eastAsia"/>
                <w:b/>
                <w:bCs w:val="0"/>
                <w:snapToGrid/>
                <w:color w:val="000000" w:themeColor="text1"/>
                <w:highlight w:val="none"/>
                <w14:textFill>
                  <w14:solidFill>
                    <w14:schemeClr w14:val="tx1"/>
                  </w14:solidFill>
                </w14:textFill>
              </w:rPr>
              <w:t>远期处理规模</w:t>
            </w:r>
          </w:p>
          <w:p w14:paraId="47393CAB">
            <w:pPr>
              <w:pStyle w:val="19"/>
              <w:kinsoku/>
              <w:autoSpaceDE/>
              <w:autoSpaceDN/>
              <w:textAlignment w:val="auto"/>
              <w:rPr>
                <w:b/>
                <w:bCs w:val="0"/>
                <w:snapToGrid/>
                <w:color w:val="000000" w:themeColor="text1"/>
                <w:highlight w:val="none"/>
                <w14:textFill>
                  <w14:solidFill>
                    <w14:schemeClr w14:val="tx1"/>
                  </w14:solidFill>
                </w14:textFill>
              </w:rPr>
            </w:pPr>
            <w:r>
              <w:rPr>
                <w:rFonts w:hint="eastAsia"/>
                <w:b/>
                <w:bCs w:val="0"/>
                <w:snapToGrid/>
                <w:color w:val="000000" w:themeColor="text1"/>
                <w:highlight w:val="none"/>
                <w14:textFill>
                  <w14:solidFill>
                    <w14:schemeClr w14:val="tx1"/>
                  </w14:solidFill>
                </w14:textFill>
              </w:rPr>
              <w:t>（万m³/d）</w:t>
            </w:r>
          </w:p>
        </w:tc>
        <w:tc>
          <w:tcPr>
            <w:tcW w:w="1641" w:type="dxa"/>
            <w:tcBorders>
              <w:tl2br w:val="nil"/>
              <w:tr2bl w:val="nil"/>
            </w:tcBorders>
            <w:vAlign w:val="center"/>
          </w:tcPr>
          <w:p w14:paraId="349CBFBB">
            <w:pPr>
              <w:pStyle w:val="19"/>
              <w:kinsoku/>
              <w:autoSpaceDE/>
              <w:autoSpaceDN/>
              <w:textAlignment w:val="auto"/>
              <w:rPr>
                <w:b/>
                <w:bCs w:val="0"/>
                <w:snapToGrid/>
                <w:color w:val="000000" w:themeColor="text1"/>
                <w:highlight w:val="none"/>
                <w14:textFill>
                  <w14:solidFill>
                    <w14:schemeClr w14:val="tx1"/>
                  </w14:solidFill>
                </w14:textFill>
              </w:rPr>
            </w:pPr>
            <w:r>
              <w:rPr>
                <w:rFonts w:hint="eastAsia"/>
                <w:b/>
                <w:bCs w:val="0"/>
                <w:snapToGrid/>
                <w:color w:val="000000" w:themeColor="text1"/>
                <w:highlight w:val="none"/>
                <w14:textFill>
                  <w14:solidFill>
                    <w14:schemeClr w14:val="tx1"/>
                  </w14:solidFill>
                </w14:textFill>
              </w:rPr>
              <w:t>收水范围</w:t>
            </w:r>
          </w:p>
        </w:tc>
      </w:tr>
      <w:tr w14:paraId="65809E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1" w:type="dxa"/>
            <w:tcBorders>
              <w:tl2br w:val="nil"/>
              <w:tr2bl w:val="nil"/>
            </w:tcBorders>
            <w:noWrap/>
            <w:vAlign w:val="center"/>
          </w:tcPr>
          <w:p w14:paraId="2C16223F">
            <w:pPr>
              <w:pStyle w:val="19"/>
              <w:kinsoku/>
              <w:autoSpaceDE/>
              <w:autoSpaceDN/>
              <w:textAlignment w:val="auto"/>
              <w:rPr>
                <w:snapToGrid/>
                <w:color w:val="000000" w:themeColor="text1"/>
                <w:highlight w:val="none"/>
                <w14:textFill>
                  <w14:solidFill>
                    <w14:schemeClr w14:val="tx1"/>
                  </w14:solidFill>
                </w14:textFill>
              </w:rPr>
            </w:pPr>
            <w:r>
              <w:rPr>
                <w:rFonts w:hint="eastAsia"/>
                <w:snapToGrid/>
                <w:color w:val="000000" w:themeColor="text1"/>
                <w:highlight w:val="none"/>
                <w14:textFill>
                  <w14:solidFill>
                    <w14:schemeClr w14:val="tx1"/>
                  </w14:solidFill>
                </w14:textFill>
              </w:rPr>
              <w:t>1</w:t>
            </w:r>
          </w:p>
        </w:tc>
        <w:tc>
          <w:tcPr>
            <w:tcW w:w="1850" w:type="dxa"/>
            <w:tcBorders>
              <w:tl2br w:val="nil"/>
              <w:tr2bl w:val="nil"/>
            </w:tcBorders>
            <w:noWrap/>
            <w:vAlign w:val="center"/>
          </w:tcPr>
          <w:p w14:paraId="0824C69E">
            <w:pPr>
              <w:pStyle w:val="19"/>
              <w:kinsoku/>
              <w:autoSpaceDE/>
              <w:autoSpaceDN/>
              <w:textAlignment w:val="auto"/>
              <w:rPr>
                <w:snapToGrid/>
                <w:color w:val="000000" w:themeColor="text1"/>
                <w:highlight w:val="none"/>
                <w14:textFill>
                  <w14:solidFill>
                    <w14:schemeClr w14:val="tx1"/>
                  </w14:solidFill>
                </w14:textFill>
              </w:rPr>
            </w:pPr>
            <w:r>
              <w:rPr>
                <w:rFonts w:hint="eastAsia"/>
                <w:snapToGrid/>
                <w:color w:val="000000" w:themeColor="text1"/>
                <w:highlight w:val="none"/>
                <w:lang w:val="en-US" w:eastAsia="zh-CN"/>
                <w14:textFill>
                  <w14:solidFill>
                    <w14:schemeClr w14:val="tx1"/>
                  </w14:solidFill>
                </w14:textFill>
              </w:rPr>
              <w:t>黄埭污水厂（厂改泵）</w:t>
            </w:r>
          </w:p>
        </w:tc>
        <w:tc>
          <w:tcPr>
            <w:tcW w:w="1759" w:type="dxa"/>
            <w:tcBorders>
              <w:tl2br w:val="nil"/>
              <w:tr2bl w:val="nil"/>
            </w:tcBorders>
            <w:noWrap/>
            <w:vAlign w:val="center"/>
          </w:tcPr>
          <w:p w14:paraId="78A4859F">
            <w:pPr>
              <w:pStyle w:val="19"/>
              <w:kinsoku/>
              <w:autoSpaceDE/>
              <w:autoSpaceDN/>
              <w:textAlignment w:val="auto"/>
              <w:rPr>
                <w:rFonts w:hint="default" w:eastAsia="仿宋_GB2312"/>
                <w:snapToGrid/>
                <w:color w:val="000000" w:themeColor="text1"/>
                <w:highlight w:val="none"/>
                <w:lang w:val="en-US" w:eastAsia="zh-CN"/>
                <w14:textFill>
                  <w14:solidFill>
                    <w14:schemeClr w14:val="tx1"/>
                  </w14:solidFill>
                </w14:textFill>
              </w:rPr>
            </w:pPr>
            <w:r>
              <w:rPr>
                <w:rFonts w:hint="eastAsia"/>
                <w:snapToGrid/>
                <w:color w:val="000000" w:themeColor="text1"/>
                <w:highlight w:val="none"/>
                <w:lang w:val="en-US" w:eastAsia="zh-CN"/>
                <w14:textFill>
                  <w14:solidFill>
                    <w14:schemeClr w14:val="tx1"/>
                  </w14:solidFill>
                </w14:textFill>
              </w:rPr>
              <w:t>1.58</w:t>
            </w:r>
          </w:p>
        </w:tc>
        <w:tc>
          <w:tcPr>
            <w:tcW w:w="1900" w:type="dxa"/>
            <w:tcBorders>
              <w:tl2br w:val="nil"/>
              <w:tr2bl w:val="nil"/>
            </w:tcBorders>
            <w:vAlign w:val="center"/>
          </w:tcPr>
          <w:p w14:paraId="0F964E62">
            <w:pPr>
              <w:pStyle w:val="19"/>
              <w:kinsoku/>
              <w:autoSpaceDE/>
              <w:autoSpaceDN/>
              <w:textAlignment w:val="auto"/>
              <w:rPr>
                <w:rFonts w:hint="eastAsia"/>
                <w:snapToGrid/>
                <w:color w:val="000000" w:themeColor="text1"/>
                <w:highlight w:val="none"/>
                <w14:textFill>
                  <w14:solidFill>
                    <w14:schemeClr w14:val="tx1"/>
                  </w14:solidFill>
                </w14:textFill>
              </w:rPr>
            </w:pPr>
            <w:r>
              <w:rPr>
                <w:rFonts w:hint="eastAsia"/>
                <w:snapToGrid/>
                <w:color w:val="000000" w:themeColor="text1"/>
                <w:highlight w:val="none"/>
                <w14:textFill>
                  <w14:solidFill>
                    <w14:schemeClr w14:val="tx1"/>
                  </w14:solidFill>
                </w14:textFill>
              </w:rPr>
              <w:t>厂改泵</w:t>
            </w:r>
          </w:p>
          <w:p w14:paraId="38ADD07A">
            <w:pPr>
              <w:pStyle w:val="19"/>
              <w:kinsoku/>
              <w:autoSpaceDE/>
              <w:autoSpaceDN/>
              <w:textAlignment w:val="auto"/>
              <w:rPr>
                <w:snapToGrid/>
                <w:color w:val="000000" w:themeColor="text1"/>
                <w:highlight w:val="none"/>
                <w14:textFill>
                  <w14:solidFill>
                    <w14:schemeClr w14:val="tx1"/>
                  </w14:solidFill>
                </w14:textFill>
              </w:rPr>
            </w:pPr>
            <w:r>
              <w:rPr>
                <w:rFonts w:hint="eastAsia"/>
                <w:snapToGrid/>
                <w:color w:val="000000" w:themeColor="text1"/>
                <w:highlight w:val="none"/>
                <w:lang w:eastAsia="zh-CN"/>
                <w14:textFill>
                  <w14:solidFill>
                    <w14:schemeClr w14:val="tx1"/>
                  </w14:solidFill>
                </w14:textFill>
              </w:rPr>
              <w:t>（</w:t>
            </w:r>
            <w:r>
              <w:rPr>
                <w:rFonts w:hint="eastAsia"/>
                <w:snapToGrid/>
                <w:color w:val="000000" w:themeColor="text1"/>
                <w:highlight w:val="none"/>
                <w:lang w:val="en-US" w:eastAsia="zh-CN"/>
                <w14:textFill>
                  <w14:solidFill>
                    <w14:schemeClr w14:val="tx1"/>
                  </w14:solidFill>
                </w14:textFill>
              </w:rPr>
              <w:t>泵站规模6</w:t>
            </w:r>
            <w:r>
              <w:rPr>
                <w:rFonts w:hint="eastAsia"/>
                <w:snapToGrid/>
                <w:color w:val="000000" w:themeColor="text1"/>
                <w:highlight w:val="none"/>
                <w:lang w:eastAsia="zh-CN"/>
                <w14:textFill>
                  <w14:solidFill>
                    <w14:schemeClr w14:val="tx1"/>
                  </w14:solidFill>
                </w14:textFill>
              </w:rPr>
              <w:t>）</w:t>
            </w:r>
          </w:p>
        </w:tc>
        <w:tc>
          <w:tcPr>
            <w:tcW w:w="1744" w:type="dxa"/>
            <w:tcBorders>
              <w:tl2br w:val="nil"/>
              <w:tr2bl w:val="nil"/>
            </w:tcBorders>
            <w:noWrap/>
            <w:vAlign w:val="center"/>
          </w:tcPr>
          <w:p w14:paraId="0129F31C">
            <w:pPr>
              <w:pStyle w:val="19"/>
              <w:kinsoku/>
              <w:autoSpaceDE/>
              <w:autoSpaceDN/>
              <w:textAlignment w:val="auto"/>
              <w:rPr>
                <w:rFonts w:hint="eastAsia"/>
                <w:snapToGrid/>
                <w:color w:val="000000" w:themeColor="text1"/>
                <w:highlight w:val="none"/>
                <w14:textFill>
                  <w14:solidFill>
                    <w14:schemeClr w14:val="tx1"/>
                  </w14:solidFill>
                </w14:textFill>
              </w:rPr>
            </w:pPr>
            <w:r>
              <w:rPr>
                <w:rFonts w:hint="eastAsia"/>
                <w:snapToGrid/>
                <w:color w:val="000000" w:themeColor="text1"/>
                <w:highlight w:val="none"/>
                <w14:textFill>
                  <w14:solidFill>
                    <w14:schemeClr w14:val="tx1"/>
                  </w14:solidFill>
                </w14:textFill>
              </w:rPr>
              <w:t>厂改泵</w:t>
            </w:r>
          </w:p>
          <w:p w14:paraId="0C124E41">
            <w:pPr>
              <w:pStyle w:val="19"/>
              <w:kinsoku/>
              <w:autoSpaceDE/>
              <w:autoSpaceDN/>
              <w:textAlignment w:val="auto"/>
              <w:rPr>
                <w:snapToGrid/>
                <w:color w:val="000000" w:themeColor="text1"/>
                <w:highlight w:val="none"/>
                <w14:textFill>
                  <w14:solidFill>
                    <w14:schemeClr w14:val="tx1"/>
                  </w14:solidFill>
                </w14:textFill>
              </w:rPr>
            </w:pPr>
            <w:r>
              <w:rPr>
                <w:rFonts w:hint="eastAsia"/>
                <w:snapToGrid/>
                <w:color w:val="000000" w:themeColor="text1"/>
                <w:highlight w:val="none"/>
                <w:lang w:eastAsia="zh-CN"/>
                <w14:textFill>
                  <w14:solidFill>
                    <w14:schemeClr w14:val="tx1"/>
                  </w14:solidFill>
                </w14:textFill>
              </w:rPr>
              <w:t>（</w:t>
            </w:r>
            <w:r>
              <w:rPr>
                <w:rFonts w:hint="eastAsia"/>
                <w:snapToGrid/>
                <w:color w:val="000000" w:themeColor="text1"/>
                <w:highlight w:val="none"/>
                <w:lang w:val="en-US" w:eastAsia="zh-CN"/>
                <w14:textFill>
                  <w14:solidFill>
                    <w14:schemeClr w14:val="tx1"/>
                  </w14:solidFill>
                </w14:textFill>
              </w:rPr>
              <w:t>泵站规模6</w:t>
            </w:r>
            <w:r>
              <w:rPr>
                <w:rFonts w:hint="eastAsia"/>
                <w:snapToGrid/>
                <w:color w:val="000000" w:themeColor="text1"/>
                <w:highlight w:val="none"/>
                <w:lang w:eastAsia="zh-CN"/>
                <w14:textFill>
                  <w14:solidFill>
                    <w14:schemeClr w14:val="tx1"/>
                  </w14:solidFill>
                </w14:textFill>
              </w:rPr>
              <w:t>）</w:t>
            </w:r>
          </w:p>
        </w:tc>
        <w:tc>
          <w:tcPr>
            <w:tcW w:w="1641" w:type="dxa"/>
            <w:tcBorders>
              <w:tl2br w:val="nil"/>
              <w:tr2bl w:val="nil"/>
            </w:tcBorders>
            <w:noWrap/>
            <w:vAlign w:val="center"/>
          </w:tcPr>
          <w:p w14:paraId="5CA21404">
            <w:pPr>
              <w:pStyle w:val="19"/>
              <w:kinsoku/>
              <w:autoSpaceDE/>
              <w:autoSpaceDN/>
              <w:textAlignment w:val="auto"/>
              <w:rPr>
                <w:rFonts w:hint="eastAsia" w:eastAsia="仿宋_GB2312"/>
                <w:snapToGrid/>
                <w:color w:val="000000" w:themeColor="text1"/>
                <w:highlight w:val="none"/>
                <w:lang w:val="en-US" w:eastAsia="zh-CN"/>
                <w14:textFill>
                  <w14:solidFill>
                    <w14:schemeClr w14:val="tx1"/>
                  </w14:solidFill>
                </w14:textFill>
              </w:rPr>
            </w:pPr>
            <w:r>
              <w:rPr>
                <w:rFonts w:hint="eastAsia"/>
                <w:snapToGrid/>
                <w:color w:val="000000" w:themeColor="text1"/>
                <w:highlight w:val="none"/>
                <w:lang w:val="en-US" w:eastAsia="zh-CN"/>
                <w14:textFill>
                  <w14:solidFill>
                    <w14:schemeClr w14:val="tx1"/>
                  </w14:solidFill>
                </w14:textFill>
              </w:rPr>
              <w:t>/</w:t>
            </w:r>
          </w:p>
        </w:tc>
      </w:tr>
      <w:tr w14:paraId="4C6BE2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1" w:type="dxa"/>
            <w:tcBorders>
              <w:tl2br w:val="nil"/>
              <w:tr2bl w:val="nil"/>
            </w:tcBorders>
            <w:noWrap/>
            <w:vAlign w:val="center"/>
          </w:tcPr>
          <w:p w14:paraId="37B7FE79">
            <w:pPr>
              <w:pStyle w:val="19"/>
              <w:kinsoku/>
              <w:autoSpaceDE/>
              <w:autoSpaceDN/>
              <w:textAlignment w:val="auto"/>
              <w:rPr>
                <w:snapToGrid/>
                <w:color w:val="000000" w:themeColor="text1"/>
                <w:highlight w:val="none"/>
                <w14:textFill>
                  <w14:solidFill>
                    <w14:schemeClr w14:val="tx1"/>
                  </w14:solidFill>
                </w14:textFill>
              </w:rPr>
            </w:pPr>
            <w:r>
              <w:rPr>
                <w:rFonts w:hint="eastAsia"/>
                <w:snapToGrid/>
                <w:color w:val="000000" w:themeColor="text1"/>
                <w:highlight w:val="none"/>
                <w14:textFill>
                  <w14:solidFill>
                    <w14:schemeClr w14:val="tx1"/>
                  </w14:solidFill>
                </w14:textFill>
              </w:rPr>
              <w:t>2</w:t>
            </w:r>
          </w:p>
        </w:tc>
        <w:tc>
          <w:tcPr>
            <w:tcW w:w="1850" w:type="dxa"/>
            <w:tcBorders>
              <w:tl2br w:val="nil"/>
              <w:tr2bl w:val="nil"/>
            </w:tcBorders>
            <w:noWrap/>
            <w:vAlign w:val="center"/>
          </w:tcPr>
          <w:p w14:paraId="72D9FE40">
            <w:pPr>
              <w:pStyle w:val="19"/>
              <w:kinsoku/>
              <w:autoSpaceDE/>
              <w:autoSpaceDN/>
              <w:textAlignment w:val="auto"/>
              <w:rPr>
                <w:snapToGrid/>
                <w:color w:val="000000" w:themeColor="text1"/>
                <w:highlight w:val="none"/>
                <w14:textFill>
                  <w14:solidFill>
                    <w14:schemeClr w14:val="tx1"/>
                  </w14:solidFill>
                </w14:textFill>
              </w:rPr>
            </w:pPr>
            <w:r>
              <w:rPr>
                <w:rFonts w:hint="eastAsia"/>
                <w:snapToGrid/>
                <w:color w:val="000000" w:themeColor="text1"/>
                <w:highlight w:val="none"/>
                <w:lang w:val="en-US" w:eastAsia="zh-CN"/>
                <w14:textFill>
                  <w14:solidFill>
                    <w14:schemeClr w14:val="tx1"/>
                  </w14:solidFill>
                </w14:textFill>
              </w:rPr>
              <w:t>东桥污水厂（厂</w:t>
            </w:r>
            <w:r>
              <w:rPr>
                <w:rFonts w:hint="eastAsia"/>
                <w:snapToGrid/>
                <w:color w:val="000000" w:themeColor="text1"/>
                <w:highlight w:val="none"/>
                <w14:textFill>
                  <w14:solidFill>
                    <w14:schemeClr w14:val="tx1"/>
                  </w14:solidFill>
                </w14:textFill>
              </w:rPr>
              <w:t>改泵（规划区外）</w:t>
            </w:r>
          </w:p>
        </w:tc>
        <w:tc>
          <w:tcPr>
            <w:tcW w:w="1759" w:type="dxa"/>
            <w:tcBorders>
              <w:tl2br w:val="nil"/>
              <w:tr2bl w:val="nil"/>
            </w:tcBorders>
            <w:noWrap/>
            <w:vAlign w:val="center"/>
          </w:tcPr>
          <w:p w14:paraId="600524BA">
            <w:pPr>
              <w:pStyle w:val="19"/>
              <w:kinsoku/>
              <w:autoSpaceDE/>
              <w:autoSpaceDN/>
              <w:textAlignment w:val="auto"/>
              <w:rPr>
                <w:rFonts w:hint="eastAsia" w:eastAsia="仿宋_GB2312"/>
                <w:snapToGrid/>
                <w:color w:val="000000" w:themeColor="text1"/>
                <w:highlight w:val="none"/>
                <w:lang w:eastAsia="zh-CN"/>
                <w14:textFill>
                  <w14:solidFill>
                    <w14:schemeClr w14:val="tx1"/>
                  </w14:solidFill>
                </w14:textFill>
              </w:rPr>
            </w:pPr>
            <w:r>
              <w:rPr>
                <w:rFonts w:hint="eastAsia"/>
                <w:snapToGrid/>
                <w:color w:val="000000" w:themeColor="text1"/>
                <w:highlight w:val="none"/>
                <w:lang w:val="en-US" w:eastAsia="zh-CN"/>
                <w14:textFill>
                  <w14:solidFill>
                    <w14:schemeClr w14:val="tx1"/>
                  </w14:solidFill>
                </w14:textFill>
              </w:rPr>
              <w:t>1</w:t>
            </w:r>
          </w:p>
        </w:tc>
        <w:tc>
          <w:tcPr>
            <w:tcW w:w="1900" w:type="dxa"/>
            <w:tcBorders>
              <w:tl2br w:val="nil"/>
              <w:tr2bl w:val="nil"/>
            </w:tcBorders>
            <w:vAlign w:val="center"/>
          </w:tcPr>
          <w:p w14:paraId="331CEA47">
            <w:pPr>
              <w:pStyle w:val="19"/>
              <w:kinsoku/>
              <w:autoSpaceDE/>
              <w:autoSpaceDN/>
              <w:textAlignment w:val="auto"/>
              <w:rPr>
                <w:rFonts w:hint="eastAsia"/>
                <w:snapToGrid/>
                <w:color w:val="000000" w:themeColor="text1"/>
                <w:highlight w:val="none"/>
                <w14:textFill>
                  <w14:solidFill>
                    <w14:schemeClr w14:val="tx1"/>
                  </w14:solidFill>
                </w14:textFill>
              </w:rPr>
            </w:pPr>
            <w:r>
              <w:rPr>
                <w:rFonts w:hint="eastAsia"/>
                <w:snapToGrid/>
                <w:color w:val="000000" w:themeColor="text1"/>
                <w:highlight w:val="none"/>
                <w14:textFill>
                  <w14:solidFill>
                    <w14:schemeClr w14:val="tx1"/>
                  </w14:solidFill>
                </w14:textFill>
              </w:rPr>
              <w:t>厂改泵</w:t>
            </w:r>
          </w:p>
          <w:p w14:paraId="6957152A">
            <w:pPr>
              <w:pStyle w:val="19"/>
              <w:kinsoku/>
              <w:autoSpaceDE/>
              <w:autoSpaceDN/>
              <w:textAlignment w:val="auto"/>
              <w:rPr>
                <w:snapToGrid/>
                <w:color w:val="000000" w:themeColor="text1"/>
                <w:highlight w:val="none"/>
                <w14:textFill>
                  <w14:solidFill>
                    <w14:schemeClr w14:val="tx1"/>
                  </w14:solidFill>
                </w14:textFill>
              </w:rPr>
            </w:pPr>
            <w:r>
              <w:rPr>
                <w:rFonts w:hint="eastAsia"/>
                <w:snapToGrid/>
                <w:color w:val="000000" w:themeColor="text1"/>
                <w:highlight w:val="none"/>
                <w:lang w:eastAsia="zh-CN"/>
                <w14:textFill>
                  <w14:solidFill>
                    <w14:schemeClr w14:val="tx1"/>
                  </w14:solidFill>
                </w14:textFill>
              </w:rPr>
              <w:t>（</w:t>
            </w:r>
            <w:r>
              <w:rPr>
                <w:rFonts w:hint="eastAsia"/>
                <w:snapToGrid/>
                <w:color w:val="000000" w:themeColor="text1"/>
                <w:highlight w:val="none"/>
                <w:lang w:val="en-US" w:eastAsia="zh-CN"/>
                <w14:textFill>
                  <w14:solidFill>
                    <w14:schemeClr w14:val="tx1"/>
                  </w14:solidFill>
                </w14:textFill>
              </w:rPr>
              <w:t>泵站规模1.8</w:t>
            </w:r>
            <w:r>
              <w:rPr>
                <w:rFonts w:hint="eastAsia"/>
                <w:snapToGrid/>
                <w:color w:val="000000" w:themeColor="text1"/>
                <w:highlight w:val="none"/>
                <w:lang w:eastAsia="zh-CN"/>
                <w14:textFill>
                  <w14:solidFill>
                    <w14:schemeClr w14:val="tx1"/>
                  </w14:solidFill>
                </w14:textFill>
              </w:rPr>
              <w:t>）</w:t>
            </w:r>
          </w:p>
        </w:tc>
        <w:tc>
          <w:tcPr>
            <w:tcW w:w="1744" w:type="dxa"/>
            <w:tcBorders>
              <w:tl2br w:val="nil"/>
              <w:tr2bl w:val="nil"/>
            </w:tcBorders>
            <w:noWrap/>
            <w:vAlign w:val="center"/>
          </w:tcPr>
          <w:p w14:paraId="036D7983">
            <w:pPr>
              <w:pStyle w:val="19"/>
              <w:kinsoku/>
              <w:autoSpaceDE/>
              <w:autoSpaceDN/>
              <w:textAlignment w:val="auto"/>
              <w:rPr>
                <w:rFonts w:hint="eastAsia"/>
                <w:snapToGrid/>
                <w:color w:val="000000" w:themeColor="text1"/>
                <w:highlight w:val="none"/>
                <w14:textFill>
                  <w14:solidFill>
                    <w14:schemeClr w14:val="tx1"/>
                  </w14:solidFill>
                </w14:textFill>
              </w:rPr>
            </w:pPr>
            <w:r>
              <w:rPr>
                <w:rFonts w:hint="eastAsia"/>
                <w:snapToGrid/>
                <w:color w:val="000000" w:themeColor="text1"/>
                <w:highlight w:val="none"/>
                <w14:textFill>
                  <w14:solidFill>
                    <w14:schemeClr w14:val="tx1"/>
                  </w14:solidFill>
                </w14:textFill>
              </w:rPr>
              <w:t>厂改泵</w:t>
            </w:r>
          </w:p>
          <w:p w14:paraId="3DB91C4D">
            <w:pPr>
              <w:pStyle w:val="19"/>
              <w:kinsoku/>
              <w:autoSpaceDE/>
              <w:autoSpaceDN/>
              <w:textAlignment w:val="auto"/>
              <w:rPr>
                <w:snapToGrid/>
                <w:color w:val="000000" w:themeColor="text1"/>
                <w:highlight w:val="none"/>
                <w14:textFill>
                  <w14:solidFill>
                    <w14:schemeClr w14:val="tx1"/>
                  </w14:solidFill>
                </w14:textFill>
              </w:rPr>
            </w:pPr>
            <w:r>
              <w:rPr>
                <w:rFonts w:hint="eastAsia"/>
                <w:snapToGrid/>
                <w:color w:val="000000" w:themeColor="text1"/>
                <w:highlight w:val="none"/>
                <w:lang w:eastAsia="zh-CN"/>
                <w14:textFill>
                  <w14:solidFill>
                    <w14:schemeClr w14:val="tx1"/>
                  </w14:solidFill>
                </w14:textFill>
              </w:rPr>
              <w:t>（</w:t>
            </w:r>
            <w:r>
              <w:rPr>
                <w:rFonts w:hint="eastAsia"/>
                <w:snapToGrid/>
                <w:color w:val="000000" w:themeColor="text1"/>
                <w:highlight w:val="none"/>
                <w:lang w:val="en-US" w:eastAsia="zh-CN"/>
                <w14:textFill>
                  <w14:solidFill>
                    <w14:schemeClr w14:val="tx1"/>
                  </w14:solidFill>
                </w14:textFill>
              </w:rPr>
              <w:t>泵站规模1.8</w:t>
            </w:r>
            <w:r>
              <w:rPr>
                <w:rFonts w:hint="eastAsia"/>
                <w:snapToGrid/>
                <w:color w:val="000000" w:themeColor="text1"/>
                <w:highlight w:val="none"/>
                <w:lang w:eastAsia="zh-CN"/>
                <w14:textFill>
                  <w14:solidFill>
                    <w14:schemeClr w14:val="tx1"/>
                  </w14:solidFill>
                </w14:textFill>
              </w:rPr>
              <w:t>）</w:t>
            </w:r>
          </w:p>
        </w:tc>
        <w:tc>
          <w:tcPr>
            <w:tcW w:w="1641" w:type="dxa"/>
            <w:tcBorders>
              <w:tl2br w:val="nil"/>
              <w:tr2bl w:val="nil"/>
            </w:tcBorders>
            <w:noWrap/>
            <w:vAlign w:val="center"/>
          </w:tcPr>
          <w:p w14:paraId="2C8CA28A">
            <w:pPr>
              <w:pStyle w:val="19"/>
              <w:kinsoku/>
              <w:autoSpaceDE/>
              <w:autoSpaceDN/>
              <w:textAlignment w:val="auto"/>
              <w:rPr>
                <w:rFonts w:hint="eastAsia" w:eastAsia="仿宋_GB2312"/>
                <w:snapToGrid/>
                <w:color w:val="000000" w:themeColor="text1"/>
                <w:highlight w:val="none"/>
                <w:lang w:val="en-US" w:eastAsia="zh-CN"/>
                <w14:textFill>
                  <w14:solidFill>
                    <w14:schemeClr w14:val="tx1"/>
                  </w14:solidFill>
                </w14:textFill>
              </w:rPr>
            </w:pPr>
            <w:r>
              <w:rPr>
                <w:rFonts w:hint="eastAsia"/>
                <w:snapToGrid/>
                <w:color w:val="000000" w:themeColor="text1"/>
                <w:highlight w:val="none"/>
                <w:lang w:val="en-US" w:eastAsia="zh-CN"/>
                <w14:textFill>
                  <w14:solidFill>
                    <w14:schemeClr w14:val="tx1"/>
                  </w14:solidFill>
                </w14:textFill>
              </w:rPr>
              <w:t>/</w:t>
            </w:r>
          </w:p>
        </w:tc>
      </w:tr>
      <w:tr w14:paraId="6B15E9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1" w:type="dxa"/>
            <w:tcBorders>
              <w:tl2br w:val="nil"/>
              <w:tr2bl w:val="nil"/>
            </w:tcBorders>
            <w:noWrap/>
            <w:vAlign w:val="center"/>
          </w:tcPr>
          <w:p w14:paraId="6561B028">
            <w:pPr>
              <w:pStyle w:val="19"/>
              <w:kinsoku/>
              <w:autoSpaceDE/>
              <w:autoSpaceDN/>
              <w:textAlignment w:val="auto"/>
              <w:rPr>
                <w:snapToGrid/>
                <w:color w:val="000000" w:themeColor="text1"/>
                <w:highlight w:val="none"/>
                <w14:textFill>
                  <w14:solidFill>
                    <w14:schemeClr w14:val="tx1"/>
                  </w14:solidFill>
                </w14:textFill>
              </w:rPr>
            </w:pPr>
            <w:r>
              <w:rPr>
                <w:snapToGrid/>
                <w:color w:val="000000" w:themeColor="text1"/>
                <w:highlight w:val="none"/>
                <w14:textFill>
                  <w14:solidFill>
                    <w14:schemeClr w14:val="tx1"/>
                  </w14:solidFill>
                </w14:textFill>
              </w:rPr>
              <w:t>3</w:t>
            </w:r>
          </w:p>
        </w:tc>
        <w:tc>
          <w:tcPr>
            <w:tcW w:w="1850" w:type="dxa"/>
            <w:tcBorders>
              <w:tl2br w:val="nil"/>
              <w:tr2bl w:val="nil"/>
            </w:tcBorders>
            <w:noWrap/>
            <w:vAlign w:val="center"/>
          </w:tcPr>
          <w:p w14:paraId="48EA2282">
            <w:pPr>
              <w:pStyle w:val="19"/>
              <w:kinsoku/>
              <w:autoSpaceDE/>
              <w:autoSpaceDN/>
              <w:textAlignment w:val="auto"/>
              <w:rPr>
                <w:rFonts w:hint="default" w:eastAsia="仿宋_GB2312"/>
                <w:snapToGrid/>
                <w:color w:val="000000" w:themeColor="text1"/>
                <w:highlight w:val="none"/>
                <w:lang w:val="en-US" w:eastAsia="zh-CN"/>
                <w14:textFill>
                  <w14:solidFill>
                    <w14:schemeClr w14:val="tx1"/>
                  </w14:solidFill>
                </w14:textFill>
              </w:rPr>
            </w:pPr>
            <w:r>
              <w:rPr>
                <w:rFonts w:hint="eastAsia"/>
                <w:snapToGrid/>
                <w:color w:val="000000" w:themeColor="text1"/>
                <w:highlight w:val="none"/>
                <w:lang w:val="en-US" w:eastAsia="zh-CN"/>
                <w14:textFill>
                  <w14:solidFill>
                    <w14:schemeClr w14:val="tx1"/>
                  </w14:solidFill>
                </w14:textFill>
              </w:rPr>
              <w:t>黄埭水质净化厂（规划区外）</w:t>
            </w:r>
          </w:p>
        </w:tc>
        <w:tc>
          <w:tcPr>
            <w:tcW w:w="1759" w:type="dxa"/>
            <w:tcBorders>
              <w:tl2br w:val="nil"/>
              <w:tr2bl w:val="nil"/>
            </w:tcBorders>
            <w:noWrap/>
            <w:vAlign w:val="center"/>
          </w:tcPr>
          <w:p w14:paraId="3EA7E357">
            <w:pPr>
              <w:pStyle w:val="19"/>
              <w:kinsoku/>
              <w:autoSpaceDE/>
              <w:autoSpaceDN/>
              <w:textAlignment w:val="auto"/>
              <w:rPr>
                <w:rFonts w:hint="default" w:eastAsia="仿宋_GB2312"/>
                <w:snapToGrid/>
                <w:color w:val="000000" w:themeColor="text1"/>
                <w:highlight w:val="none"/>
                <w:lang w:val="en-US" w:eastAsia="zh-CN"/>
                <w14:textFill>
                  <w14:solidFill>
                    <w14:schemeClr w14:val="tx1"/>
                  </w14:solidFill>
                </w14:textFill>
              </w:rPr>
            </w:pPr>
            <w:r>
              <w:rPr>
                <w:rFonts w:hint="eastAsia"/>
                <w:snapToGrid/>
                <w:color w:val="000000" w:themeColor="text1"/>
                <w:highlight w:val="none"/>
                <w:lang w:val="en-US" w:eastAsia="zh-CN"/>
                <w14:textFill>
                  <w14:solidFill>
                    <w14:schemeClr w14:val="tx1"/>
                  </w14:solidFill>
                </w14:textFill>
              </w:rPr>
              <w:t>/</w:t>
            </w:r>
          </w:p>
        </w:tc>
        <w:tc>
          <w:tcPr>
            <w:tcW w:w="1900" w:type="dxa"/>
            <w:tcBorders>
              <w:tl2br w:val="nil"/>
              <w:tr2bl w:val="nil"/>
            </w:tcBorders>
            <w:vAlign w:val="center"/>
          </w:tcPr>
          <w:p w14:paraId="11CBFF8C">
            <w:pPr>
              <w:pStyle w:val="19"/>
              <w:kinsoku/>
              <w:autoSpaceDE/>
              <w:autoSpaceDN/>
              <w:textAlignment w:val="auto"/>
              <w:rPr>
                <w:rFonts w:hint="default" w:eastAsia="仿宋_GB2312"/>
                <w:snapToGrid/>
                <w:color w:val="000000" w:themeColor="text1"/>
                <w:highlight w:val="none"/>
                <w:lang w:val="en-US" w:eastAsia="zh-CN"/>
                <w14:textFill>
                  <w14:solidFill>
                    <w14:schemeClr w14:val="tx1"/>
                  </w14:solidFill>
                </w14:textFill>
              </w:rPr>
            </w:pPr>
            <w:r>
              <w:rPr>
                <w:rFonts w:hint="eastAsia"/>
                <w:snapToGrid/>
                <w:color w:val="000000" w:themeColor="text1"/>
                <w:highlight w:val="none"/>
                <w:lang w:val="en-US" w:eastAsia="zh-CN"/>
                <w14:textFill>
                  <w14:solidFill>
                    <w14:schemeClr w14:val="tx1"/>
                  </w14:solidFill>
                </w14:textFill>
              </w:rPr>
              <w:t>12</w:t>
            </w:r>
          </w:p>
        </w:tc>
        <w:tc>
          <w:tcPr>
            <w:tcW w:w="1744" w:type="dxa"/>
            <w:tcBorders>
              <w:tl2br w:val="nil"/>
              <w:tr2bl w:val="nil"/>
            </w:tcBorders>
            <w:noWrap/>
            <w:vAlign w:val="center"/>
          </w:tcPr>
          <w:p w14:paraId="78633562">
            <w:pPr>
              <w:pStyle w:val="19"/>
              <w:kinsoku/>
              <w:autoSpaceDE/>
              <w:autoSpaceDN/>
              <w:textAlignment w:val="auto"/>
              <w:rPr>
                <w:rFonts w:hint="default" w:eastAsia="仿宋_GB2312"/>
                <w:snapToGrid/>
                <w:color w:val="000000" w:themeColor="text1"/>
                <w:highlight w:val="none"/>
                <w:lang w:val="en-US" w:eastAsia="zh-CN"/>
                <w14:textFill>
                  <w14:solidFill>
                    <w14:schemeClr w14:val="tx1"/>
                  </w14:solidFill>
                </w14:textFill>
              </w:rPr>
            </w:pPr>
            <w:r>
              <w:rPr>
                <w:rFonts w:hint="eastAsia"/>
                <w:snapToGrid/>
                <w:color w:val="000000" w:themeColor="text1"/>
                <w:highlight w:val="none"/>
                <w:lang w:val="en-US" w:eastAsia="zh-CN"/>
                <w14:textFill>
                  <w14:solidFill>
                    <w14:schemeClr w14:val="tx1"/>
                  </w14:solidFill>
                </w14:textFill>
              </w:rPr>
              <w:t>12</w:t>
            </w:r>
          </w:p>
        </w:tc>
        <w:tc>
          <w:tcPr>
            <w:tcW w:w="1641" w:type="dxa"/>
            <w:tcBorders>
              <w:tl2br w:val="nil"/>
              <w:tr2bl w:val="nil"/>
            </w:tcBorders>
            <w:noWrap/>
            <w:vAlign w:val="center"/>
          </w:tcPr>
          <w:p w14:paraId="5AE106E4">
            <w:pPr>
              <w:pStyle w:val="19"/>
              <w:kinsoku/>
              <w:autoSpaceDE/>
              <w:autoSpaceDN/>
              <w:textAlignment w:val="auto"/>
              <w:rPr>
                <w:snapToGrid/>
                <w:color w:val="000000" w:themeColor="text1"/>
                <w:highlight w:val="none"/>
                <w14:textFill>
                  <w14:solidFill>
                    <w14:schemeClr w14:val="tx1"/>
                  </w14:solidFill>
                </w14:textFill>
              </w:rPr>
            </w:pPr>
            <w:r>
              <w:rPr>
                <w:rFonts w:hint="eastAsia"/>
                <w:snapToGrid/>
                <w:color w:val="000000" w:themeColor="text1"/>
                <w:highlight w:val="none"/>
                <w14:textFill>
                  <w14:solidFill>
                    <w14:schemeClr w14:val="tx1"/>
                  </w14:solidFill>
                </w14:textFill>
              </w:rPr>
              <w:t>原东桥、望亭、黄埭三个污水处理厂服务范围</w:t>
            </w:r>
          </w:p>
        </w:tc>
      </w:tr>
      <w:tr w14:paraId="2FC728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1" w:type="dxa"/>
            <w:tcBorders>
              <w:tl2br w:val="nil"/>
              <w:tr2bl w:val="nil"/>
            </w:tcBorders>
            <w:noWrap/>
            <w:vAlign w:val="center"/>
          </w:tcPr>
          <w:p w14:paraId="7D7E1445">
            <w:pPr>
              <w:pStyle w:val="19"/>
              <w:kinsoku/>
              <w:autoSpaceDE/>
              <w:autoSpaceDN/>
              <w:textAlignment w:val="auto"/>
              <w:rPr>
                <w:b/>
                <w:bCs w:val="0"/>
                <w:snapToGrid/>
                <w:color w:val="000000" w:themeColor="text1"/>
                <w:highlight w:val="none"/>
                <w14:textFill>
                  <w14:solidFill>
                    <w14:schemeClr w14:val="tx1"/>
                  </w14:solidFill>
                </w14:textFill>
              </w:rPr>
            </w:pPr>
            <w:r>
              <w:rPr>
                <w:b/>
                <w:bCs w:val="0"/>
                <w:snapToGrid/>
                <w:color w:val="000000" w:themeColor="text1"/>
                <w:highlight w:val="none"/>
                <w14:textFill>
                  <w14:solidFill>
                    <w14:schemeClr w14:val="tx1"/>
                  </w14:solidFill>
                </w14:textFill>
              </w:rPr>
              <w:t>4</w:t>
            </w:r>
          </w:p>
        </w:tc>
        <w:tc>
          <w:tcPr>
            <w:tcW w:w="1850" w:type="dxa"/>
            <w:tcBorders>
              <w:tl2br w:val="nil"/>
              <w:tr2bl w:val="nil"/>
            </w:tcBorders>
            <w:noWrap/>
            <w:vAlign w:val="center"/>
          </w:tcPr>
          <w:p w14:paraId="400A25D1">
            <w:pPr>
              <w:pStyle w:val="19"/>
              <w:kinsoku/>
              <w:autoSpaceDE/>
              <w:autoSpaceDN/>
              <w:textAlignment w:val="auto"/>
              <w:rPr>
                <w:b/>
                <w:bCs w:val="0"/>
                <w:snapToGrid/>
                <w:color w:val="000000" w:themeColor="text1"/>
                <w:highlight w:val="none"/>
                <w14:textFill>
                  <w14:solidFill>
                    <w14:schemeClr w14:val="tx1"/>
                  </w14:solidFill>
                </w14:textFill>
              </w:rPr>
            </w:pPr>
            <w:r>
              <w:rPr>
                <w:rFonts w:hint="eastAsia"/>
                <w:b/>
                <w:bCs w:val="0"/>
                <w:snapToGrid/>
                <w:color w:val="000000" w:themeColor="text1"/>
                <w:highlight w:val="none"/>
                <w14:textFill>
                  <w14:solidFill>
                    <w14:schemeClr w14:val="tx1"/>
                  </w14:solidFill>
                </w14:textFill>
              </w:rPr>
              <w:t>合计</w:t>
            </w:r>
          </w:p>
        </w:tc>
        <w:tc>
          <w:tcPr>
            <w:tcW w:w="1759" w:type="dxa"/>
            <w:tcBorders>
              <w:tl2br w:val="nil"/>
              <w:tr2bl w:val="nil"/>
            </w:tcBorders>
            <w:noWrap/>
            <w:vAlign w:val="center"/>
          </w:tcPr>
          <w:p w14:paraId="1D2EE454">
            <w:pPr>
              <w:pStyle w:val="19"/>
              <w:kinsoku/>
              <w:autoSpaceDE/>
              <w:autoSpaceDN/>
              <w:textAlignment w:val="auto"/>
              <w:rPr>
                <w:rFonts w:hint="default" w:eastAsia="仿宋_GB2312"/>
                <w:b/>
                <w:bCs w:val="0"/>
                <w:snapToGrid/>
                <w:color w:val="000000" w:themeColor="text1"/>
                <w:highlight w:val="none"/>
                <w:lang w:val="en-US" w:eastAsia="zh-CN"/>
                <w14:textFill>
                  <w14:solidFill>
                    <w14:schemeClr w14:val="tx1"/>
                  </w14:solidFill>
                </w14:textFill>
              </w:rPr>
            </w:pPr>
            <w:r>
              <w:rPr>
                <w:rFonts w:hint="eastAsia"/>
                <w:b/>
                <w:bCs w:val="0"/>
                <w:snapToGrid/>
                <w:color w:val="000000" w:themeColor="text1"/>
                <w:highlight w:val="none"/>
                <w:lang w:val="en-US" w:eastAsia="zh-CN"/>
                <w14:textFill>
                  <w14:solidFill>
                    <w14:schemeClr w14:val="tx1"/>
                  </w14:solidFill>
                </w14:textFill>
              </w:rPr>
              <w:t>2.58</w:t>
            </w:r>
          </w:p>
        </w:tc>
        <w:tc>
          <w:tcPr>
            <w:tcW w:w="1900" w:type="dxa"/>
            <w:tcBorders>
              <w:tl2br w:val="nil"/>
              <w:tr2bl w:val="nil"/>
            </w:tcBorders>
            <w:vAlign w:val="center"/>
          </w:tcPr>
          <w:p w14:paraId="61D3D831">
            <w:pPr>
              <w:pStyle w:val="19"/>
              <w:kinsoku/>
              <w:autoSpaceDE/>
              <w:autoSpaceDN/>
              <w:textAlignment w:val="auto"/>
              <w:rPr>
                <w:rFonts w:hint="default" w:eastAsia="仿宋_GB2312"/>
                <w:b/>
                <w:bCs w:val="0"/>
                <w:snapToGrid/>
                <w:color w:val="000000" w:themeColor="text1"/>
                <w:highlight w:val="none"/>
                <w:lang w:val="en-US" w:eastAsia="zh-CN"/>
                <w14:textFill>
                  <w14:solidFill>
                    <w14:schemeClr w14:val="tx1"/>
                  </w14:solidFill>
                </w14:textFill>
              </w:rPr>
            </w:pPr>
            <w:r>
              <w:rPr>
                <w:rFonts w:hint="eastAsia"/>
                <w:b/>
                <w:bCs w:val="0"/>
                <w:snapToGrid/>
                <w:color w:val="000000" w:themeColor="text1"/>
                <w:highlight w:val="none"/>
                <w:lang w:val="en-US" w:eastAsia="zh-CN"/>
                <w14:textFill>
                  <w14:solidFill>
                    <w14:schemeClr w14:val="tx1"/>
                  </w14:solidFill>
                </w14:textFill>
              </w:rPr>
              <w:t>12</w:t>
            </w:r>
          </w:p>
        </w:tc>
        <w:tc>
          <w:tcPr>
            <w:tcW w:w="1744" w:type="dxa"/>
            <w:tcBorders>
              <w:tl2br w:val="nil"/>
              <w:tr2bl w:val="nil"/>
            </w:tcBorders>
            <w:noWrap/>
            <w:vAlign w:val="center"/>
          </w:tcPr>
          <w:p w14:paraId="3E509DCF">
            <w:pPr>
              <w:pStyle w:val="19"/>
              <w:kinsoku/>
              <w:autoSpaceDE/>
              <w:autoSpaceDN/>
              <w:textAlignment w:val="auto"/>
              <w:rPr>
                <w:rFonts w:hint="default" w:eastAsia="仿宋_GB2312"/>
                <w:b/>
                <w:bCs w:val="0"/>
                <w:snapToGrid/>
                <w:color w:val="000000" w:themeColor="text1"/>
                <w:highlight w:val="none"/>
                <w:lang w:val="en-US" w:eastAsia="zh-CN"/>
                <w14:textFill>
                  <w14:solidFill>
                    <w14:schemeClr w14:val="tx1"/>
                  </w14:solidFill>
                </w14:textFill>
              </w:rPr>
            </w:pPr>
            <w:r>
              <w:rPr>
                <w:rFonts w:hint="eastAsia"/>
                <w:b/>
                <w:bCs w:val="0"/>
                <w:snapToGrid/>
                <w:color w:val="000000" w:themeColor="text1"/>
                <w:highlight w:val="none"/>
                <w:lang w:val="en-US" w:eastAsia="zh-CN"/>
                <w14:textFill>
                  <w14:solidFill>
                    <w14:schemeClr w14:val="tx1"/>
                  </w14:solidFill>
                </w14:textFill>
              </w:rPr>
              <w:t>12</w:t>
            </w:r>
          </w:p>
        </w:tc>
        <w:tc>
          <w:tcPr>
            <w:tcW w:w="1641" w:type="dxa"/>
            <w:tcBorders>
              <w:tl2br w:val="nil"/>
              <w:tr2bl w:val="nil"/>
            </w:tcBorders>
            <w:noWrap/>
            <w:vAlign w:val="center"/>
          </w:tcPr>
          <w:p w14:paraId="225B8BFE">
            <w:pPr>
              <w:pStyle w:val="19"/>
              <w:kinsoku/>
              <w:autoSpaceDE/>
              <w:autoSpaceDN/>
              <w:textAlignment w:val="auto"/>
              <w:rPr>
                <w:b/>
                <w:bCs w:val="0"/>
                <w:snapToGrid/>
                <w:color w:val="000000" w:themeColor="text1"/>
                <w:highlight w:val="none"/>
                <w14:textFill>
                  <w14:solidFill>
                    <w14:schemeClr w14:val="tx1"/>
                  </w14:solidFill>
                </w14:textFill>
              </w:rPr>
            </w:pPr>
            <w:r>
              <w:rPr>
                <w:rFonts w:hint="eastAsia"/>
                <w:b/>
                <w:bCs w:val="0"/>
                <w:snapToGrid/>
                <w:color w:val="000000" w:themeColor="text1"/>
                <w:highlight w:val="none"/>
                <w14:textFill>
                  <w14:solidFill>
                    <w14:schemeClr w14:val="tx1"/>
                  </w14:solidFill>
                </w14:textFill>
              </w:rPr>
              <w:t>/</w:t>
            </w:r>
          </w:p>
        </w:tc>
      </w:tr>
    </w:tbl>
    <w:p w14:paraId="41F436FB">
      <w:pPr>
        <w:pStyle w:val="19"/>
        <w:kinsoku/>
        <w:autoSpaceDE/>
        <w:autoSpaceDN/>
        <w:spacing w:line="240" w:lineRule="auto"/>
        <w:textAlignment w:val="auto"/>
        <w:rPr>
          <w:snapToGrid/>
          <w:color w:val="000000" w:themeColor="text1"/>
          <w:highlight w:val="none"/>
          <w14:textFill>
            <w14:solidFill>
              <w14:schemeClr w14:val="tx1"/>
            </w14:solidFill>
          </w14:textFill>
        </w:rPr>
      </w:pPr>
    </w:p>
    <w:p w14:paraId="785A6D2F">
      <w:pPr>
        <w:widowControl w:val="0"/>
        <w:kinsoku/>
        <w:autoSpaceDE/>
        <w:autoSpaceDN/>
        <w:adjustRightInd/>
        <w:snapToGrid/>
        <w:spacing w:line="500" w:lineRule="exact"/>
        <w:ind w:firstLine="560" w:firstLineChars="200"/>
        <w:jc w:val="both"/>
        <w:textAlignment w:val="auto"/>
        <w:rPr>
          <w:rFonts w:ascii="宋体" w:hAnsi="宋体"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宋体" w:hAnsi="宋体" w:eastAsia="仿宋_GB2312" w:cs="Times New Roman"/>
          <w:snapToGrid/>
          <w:color w:val="000000" w:themeColor="text1"/>
          <w:kern w:val="2"/>
          <w:sz w:val="28"/>
          <w:szCs w:val="22"/>
          <w:highlight w:val="none"/>
          <w:lang w:eastAsia="zh-CN"/>
          <w14:textFill>
            <w14:solidFill>
              <w14:schemeClr w14:val="tx1"/>
            </w14:solidFill>
          </w14:textFill>
        </w:rPr>
        <w:t>②污水提升泵站</w:t>
      </w:r>
    </w:p>
    <w:p w14:paraId="1B66E817">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于原污水处理厂位置规划转输泵站两处，分别为东桥污水厂转输泵站（1.8万m</w:t>
      </w:r>
      <w:r>
        <w:rPr>
          <w:rFonts w:hint="eastAsia" w:ascii="Times New Roman" w:hAnsi="Times New Roman" w:eastAsia="仿宋_GB2312" w:cs="Times New Roman"/>
          <w:snapToGrid/>
          <w:color w:val="000000" w:themeColor="text1"/>
          <w:kern w:val="2"/>
          <w:sz w:val="28"/>
          <w:szCs w:val="22"/>
          <w:highlight w:val="none"/>
          <w:vertAlign w:val="superscript"/>
          <w:lang w:val="en-US" w:eastAsia="zh-CN"/>
          <w14:textFill>
            <w14:solidFill>
              <w14:schemeClr w14:val="tx1"/>
            </w14:solidFill>
          </w14:textFill>
        </w:rPr>
        <w:t>3</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/d）和黄埭污水厂转输泵站（6万m</w:t>
      </w:r>
      <w:r>
        <w:rPr>
          <w:rFonts w:hint="eastAsia" w:ascii="Times New Roman" w:hAnsi="Times New Roman" w:eastAsia="仿宋_GB2312" w:cs="Times New Roman"/>
          <w:snapToGrid/>
          <w:color w:val="000000" w:themeColor="text1"/>
          <w:kern w:val="2"/>
          <w:sz w:val="28"/>
          <w:szCs w:val="22"/>
          <w:highlight w:val="none"/>
          <w:vertAlign w:val="superscript"/>
          <w:lang w:val="en-US" w:eastAsia="zh-CN"/>
          <w14:textFill>
            <w14:solidFill>
              <w14:schemeClr w14:val="tx1"/>
            </w14:solidFill>
          </w14:textFill>
        </w:rPr>
        <w:t>3</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/d）。</w:t>
      </w:r>
    </w:p>
    <w:p w14:paraId="29405025">
      <w:pPr>
        <w:widowControl w:val="0"/>
        <w:kinsoku/>
        <w:autoSpaceDE/>
        <w:autoSpaceDN/>
        <w:adjustRightInd/>
        <w:snapToGrid/>
        <w:spacing w:line="500" w:lineRule="exact"/>
        <w:ind w:firstLine="560" w:firstLineChars="200"/>
        <w:jc w:val="both"/>
        <w:textAlignment w:val="auto"/>
        <w:rPr>
          <w:rFonts w:ascii="Times New Roman" w:hAnsi="Arial"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宋体" w:hAnsi="宋体" w:eastAsia="仿宋_GB2312" w:cs="Times New Roman"/>
          <w:snapToGrid/>
          <w:color w:val="000000" w:themeColor="text1"/>
          <w:kern w:val="2"/>
          <w:sz w:val="28"/>
          <w:szCs w:val="22"/>
          <w:highlight w:val="none"/>
          <w:lang w:eastAsia="zh-CN"/>
          <w14:textFill>
            <w14:solidFill>
              <w14:schemeClr w14:val="tx1"/>
            </w14:solidFill>
          </w14:textFill>
        </w:rPr>
        <w:t>③污水管网规划</w:t>
      </w:r>
    </w:p>
    <w:p w14:paraId="2F1F04F2">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以京沪高速为界，划分为两个排污分区。污水主干管沿太阳路和京沪高速布置，管径d1200~d1650；污水次干管沿冯梦龙大道、春旺路、高阳路、长旺路、长平路和长泰路等道路布置，次干管管径d600~d1000；污水支管沿各级道路布置，支管管径DN400~DN500。</w:t>
      </w:r>
    </w:p>
    <w:p w14:paraId="3E2F7CE1">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新建污水管道与道路建设同步实施，一般布置在道路的东、南侧。</w:t>
      </w:r>
    </w:p>
    <w:p w14:paraId="2B4BF504">
      <w:pPr>
        <w:widowControl w:val="0"/>
        <w:numPr>
          <w:ilvl w:val="0"/>
          <w:numId w:val="3"/>
        </w:numPr>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雨水工程</w:t>
      </w:r>
    </w:p>
    <w:p w14:paraId="10849F36">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加强雨水源头控制。减少城市地表不透水面积，积极推广渗透性强的材料作为人行道、停车场等表面层；因地制宜地选用透水铺装、绿色屋顶、雨水湿地、生物滞留设施和植草沟等低影响开发设施，充分发挥其雨水渗透、滞蓄、净化和利用功能，有效控制雨水径流总量、径流峰值和径流污染。</w:t>
      </w:r>
    </w:p>
    <w:p w14:paraId="125B084F">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连通、疏浚区内河道水体，保证排水通畅。雨水尽量排入内河，在汛期通过排涝泵调节内河水位。根据河流位置及道路等划分汇水区域，分片收集各地块及道路雨水，以较小管径排入附近水体。</w:t>
      </w:r>
    </w:p>
    <w:p w14:paraId="2C668960">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推进雨水管网建设，雨水管网覆盖率达100%。当道路红线宽度在</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40</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米（含40米）以上及三块板道路时，雨水管道两侧布置，其余单侧布置。雨水管道在道路下位置以慢车道为主，单侧布置时原则上布置在道路中心线西侧或北侧。雨水管道起始端覆土深度不小于0.7米，覆土深度不宜大于3.0米。</w:t>
      </w:r>
    </w:p>
    <w:p w14:paraId="291C8876">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（3）中水回用工程规划</w:t>
      </w:r>
    </w:p>
    <w:p w14:paraId="1AD3A9B0">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积极鼓励社会、企业实施再生水回用，建立节水型城市，再生水利用率近期达到不小于20%、远期达到不小于30%的目标。</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黄埭水质净化厂规划近期中水利用规模为1.1万立方米/日，远期中水利用规模为3.3万立方米/日。中水作厂内预处理段格栅冲洗、脱泥系统、除臭系统、膜系统、厂区绿化浇灌、消防水池用水以及再生资源中心内压缩转运车间洗车用水、车间地面冲洗用水、除臭系统用水、渗沥液加药用水、管理区卫生间冲洗用水。</w:t>
      </w:r>
    </w:p>
    <w:p w14:paraId="2FBC9D7C">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yellow"/>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中水水质应满足《城市污水再生利用 城市杂用水水质》（GB/T 18920-2020）、《城市污水再生利用 景观环境用水水质》（GB/T 18921-2019）、《城市污水再生利用 工业用水水质》（GB/T 19923-2005）中规定的相应的水质标准。</w:t>
      </w:r>
    </w:p>
    <w:p w14:paraId="4FF62422">
      <w:pPr>
        <w:pStyle w:val="2"/>
        <w:numPr>
          <w:ilvl w:val="2"/>
          <w:numId w:val="2"/>
        </w:numPr>
        <w:kinsoku/>
        <w:autoSpaceDE/>
        <w:autoSpaceDN/>
        <w:adjustRightInd/>
        <w:snapToGrid/>
        <w:spacing w:before="120" w:after="120"/>
        <w:ind w:left="0" w:leftChars="0" w:firstLine="0" w:firstLineChars="0"/>
        <w:textAlignment w:val="auto"/>
        <w:rPr>
          <w:snapToGrid/>
          <w:color w:val="000000" w:themeColor="text1"/>
          <w:highlight w:val="none"/>
          <w14:textFill>
            <w14:solidFill>
              <w14:schemeClr w14:val="tx1"/>
            </w14:solidFill>
          </w14:textFill>
        </w:rPr>
      </w:pPr>
      <w:bookmarkStart w:id="20" w:name="_Toc3895"/>
      <w:r>
        <w:rPr>
          <w:snapToGrid/>
          <w:color w:val="000000" w:themeColor="text1"/>
          <w:highlight w:val="none"/>
          <w14:textFill>
            <w14:solidFill>
              <w14:schemeClr w14:val="tx1"/>
            </w14:solidFill>
          </w14:textFill>
        </w:rPr>
        <w:t>电力工程规划</w:t>
      </w:r>
      <w:bookmarkEnd w:id="20"/>
    </w:p>
    <w:p w14:paraId="2960BDC4">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规划由现状220KV东桥变为规划区供电，规划扩容东桥变至3×240KVA。</w:t>
      </w:r>
    </w:p>
    <w:p w14:paraId="26EE2A36">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保留现状规划区西侧110kv钱埂变和规划区内110kv潘阳变为规划区供电，容量均为（50+63）MVA，预留110kv东蠡变，东蠡变容量为2×63MVA。110</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KV</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变电所结构形式为户内式，占地面积控制为4000平方米。</w:t>
      </w:r>
    </w:p>
    <w:p w14:paraId="6517D459">
      <w:pPr>
        <w:pStyle w:val="2"/>
        <w:numPr>
          <w:ilvl w:val="2"/>
          <w:numId w:val="2"/>
        </w:numPr>
        <w:kinsoku/>
        <w:autoSpaceDE/>
        <w:autoSpaceDN/>
        <w:adjustRightInd/>
        <w:snapToGrid/>
        <w:spacing w:before="120" w:after="120"/>
        <w:ind w:left="0" w:leftChars="0" w:firstLine="0" w:firstLineChars="0"/>
        <w:textAlignment w:val="auto"/>
        <w:rPr>
          <w:snapToGrid/>
          <w:color w:val="000000" w:themeColor="text1"/>
          <w:highlight w:val="none"/>
          <w14:textFill>
            <w14:solidFill>
              <w14:schemeClr w14:val="tx1"/>
            </w14:solidFill>
          </w14:textFill>
        </w:rPr>
      </w:pPr>
      <w:bookmarkStart w:id="21" w:name="_Toc27711"/>
      <w:r>
        <w:rPr>
          <w:snapToGrid/>
          <w:color w:val="000000" w:themeColor="text1"/>
          <w:highlight w:val="none"/>
          <w14:textFill>
            <w14:solidFill>
              <w14:schemeClr w14:val="tx1"/>
            </w14:solidFill>
          </w14:textFill>
        </w:rPr>
        <w:t>燃气工程规划</w:t>
      </w:r>
      <w:bookmarkEnd w:id="21"/>
    </w:p>
    <w:p w14:paraId="4E0DEAE6">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规划远期全部使用“西气东输”天然气，采用管道供气。天然气由苏州东桥天然气门站通过东桥高中压调压计量站供应。</w:t>
      </w:r>
    </w:p>
    <w:p w14:paraId="353CFCE8">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规划区内天然气从高中压调压站接入。天然气管在规划区内沿主次道路布置，管径de110～de315。为减少过桥次数，中压主干管形成环路，次干管分段成环或支状布置。燃气由中压管网至各用户计量调压箱，经调压后供应公共建筑用户使用；或至各中、低压楼栋调压箱或小区调压站，经调压后进入低压管道，供应居民用户使用。小区调压站或调压箱结合小区规划布置于隐蔽处，利用绿化遮挡及防护，同时要方便管线的进出，具体位置由小区燃气管道系统设计时结合小区总平面布置。</w:t>
      </w:r>
    </w:p>
    <w:p w14:paraId="1E951F24">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中压燃气管在道路下的位置以人行道或两侧绿化带为主，管位空间不够时布置在非机动车道下，原则上布置在道路中心线的西侧或北侧。</w:t>
      </w:r>
    </w:p>
    <w:p w14:paraId="48BDF1E7">
      <w:pPr>
        <w:pStyle w:val="2"/>
        <w:numPr>
          <w:ilvl w:val="2"/>
          <w:numId w:val="2"/>
        </w:numPr>
        <w:kinsoku/>
        <w:autoSpaceDE/>
        <w:autoSpaceDN/>
        <w:adjustRightInd/>
        <w:snapToGrid/>
        <w:spacing w:before="120" w:after="120"/>
        <w:ind w:left="0" w:leftChars="0" w:firstLine="0" w:firstLineChars="0"/>
        <w:textAlignment w:val="auto"/>
        <w:rPr>
          <w:snapToGrid/>
          <w:color w:val="000000" w:themeColor="text1"/>
          <w:highlight w:val="none"/>
          <w14:textFill>
            <w14:solidFill>
              <w14:schemeClr w14:val="tx1"/>
            </w14:solidFill>
          </w14:textFill>
        </w:rPr>
      </w:pPr>
      <w:bookmarkStart w:id="22" w:name="_Toc5888"/>
      <w:r>
        <w:rPr>
          <w:rFonts w:hint="eastAsia"/>
          <w:snapToGrid/>
          <w:color w:val="000000" w:themeColor="text1"/>
          <w:highlight w:val="none"/>
          <w14:textFill>
            <w14:solidFill>
              <w14:schemeClr w14:val="tx1"/>
            </w14:solidFill>
          </w14:textFill>
        </w:rPr>
        <w:t>供热</w:t>
      </w:r>
      <w:r>
        <w:rPr>
          <w:snapToGrid/>
          <w:color w:val="000000" w:themeColor="text1"/>
          <w:highlight w:val="none"/>
          <w14:textFill>
            <w14:solidFill>
              <w14:schemeClr w14:val="tx1"/>
            </w14:solidFill>
          </w14:textFill>
        </w:rPr>
        <w:t>工程规划</w:t>
      </w:r>
      <w:bookmarkEnd w:id="22"/>
    </w:p>
    <w:p w14:paraId="0E81DCE6">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由于苏州地区为非集中供热地区，规划区不考虑全面集中供热系统，只在集中的工业片区和大型的集中公共设施区考虑集中供热系统。其他民用建筑采用分散供热及制冷。</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相城高新区</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现状由江南化纤热电厂进行供热。</w:t>
      </w:r>
    </w:p>
    <w:p w14:paraId="241018F2">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相城高新区</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内有大量工业用地，为了适应国家的节能政策，规划考虑在区内预留热力管道。考虑到近期道路建设不建设热力管道的实际情况，预留的热力管道走廊主要考虑在道路或河道两侧的绿化带内，以适应近、远期不同的建设需求。规划</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远期</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将形成望亭电厂1个主要公共热源点，现状供热能力为1090吨/小时，远期最大供热能力为1800吨/小时。</w:t>
      </w:r>
    </w:p>
    <w:p w14:paraId="3C360F8E">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热力干管管径DN400~DN500，支管管径DN200~DN300。热力管网采用蒸汽为热介质，热力管道在工业区内部可采用低支墩沿河、沿路铺设，减少投资，穿越居住与商业区时采用钢套管埋地敷设。热力管沿道路或者河道绿化带预留管位，由于用热用户不确定性，供热管网无法与道路同步建设，所以在道路上预留供热管网位置尽量预留在道路两侧绿化带中，以便日后建设供热管网少开挖道路。</w:t>
      </w:r>
    </w:p>
    <w:p w14:paraId="3D73D4BD">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依据《苏州市区热电联产规划（202</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3—</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2025）》，</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相城区</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现有华电望亭发电分公司1个公共热源点，以及江南化纤自备热电厂1个自备热源点。规划期内，华电望亭建成投运已核准的江苏华电望亭燃机二期项目，为满足片区内日益增长的供热需求，建议尽快落实望亭燃机二期项目供热改造工作；华电望亭建设“先立后改”2×660MW煤电扩建项目；江南化纤自备热电厂规划近期不得新增对外供热。</w:t>
      </w:r>
    </w:p>
    <w:p w14:paraId="5B4B2617">
      <w:pPr>
        <w:pStyle w:val="2"/>
        <w:numPr>
          <w:ilvl w:val="2"/>
          <w:numId w:val="2"/>
        </w:numPr>
        <w:kinsoku/>
        <w:autoSpaceDE/>
        <w:autoSpaceDN/>
        <w:adjustRightInd/>
        <w:snapToGrid/>
        <w:spacing w:before="120" w:after="120"/>
        <w:ind w:left="0" w:leftChars="0" w:firstLine="0" w:firstLineChars="0"/>
        <w:textAlignment w:val="auto"/>
        <w:rPr>
          <w:snapToGrid/>
          <w:color w:val="000000" w:themeColor="text1"/>
          <w:highlight w:val="none"/>
          <w14:textFill>
            <w14:solidFill>
              <w14:schemeClr w14:val="tx1"/>
            </w14:solidFill>
          </w14:textFill>
        </w:rPr>
      </w:pPr>
      <w:bookmarkStart w:id="23" w:name="_Toc4580"/>
      <w:r>
        <w:rPr>
          <w:snapToGrid/>
          <w:color w:val="000000" w:themeColor="text1"/>
          <w:highlight w:val="none"/>
          <w14:textFill>
            <w14:solidFill>
              <w14:schemeClr w14:val="tx1"/>
            </w14:solidFill>
          </w14:textFill>
        </w:rPr>
        <w:t>环卫</w:t>
      </w:r>
      <w:r>
        <w:rPr>
          <w:rFonts w:hint="eastAsia"/>
          <w:snapToGrid/>
          <w:color w:val="000000" w:themeColor="text1"/>
          <w:highlight w:val="none"/>
          <w14:textFill>
            <w14:solidFill>
              <w14:schemeClr w14:val="tx1"/>
            </w14:solidFill>
          </w14:textFill>
        </w:rPr>
        <w:t>工程</w:t>
      </w:r>
      <w:r>
        <w:rPr>
          <w:snapToGrid/>
          <w:color w:val="000000" w:themeColor="text1"/>
          <w:highlight w:val="none"/>
          <w14:textFill>
            <w14:solidFill>
              <w14:schemeClr w14:val="tx1"/>
            </w14:solidFill>
          </w14:textFill>
        </w:rPr>
        <w:t>规划</w:t>
      </w:r>
      <w:bookmarkEnd w:id="23"/>
    </w:p>
    <w:p w14:paraId="48442F04">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（1）生活垃圾</w:t>
      </w:r>
    </w:p>
    <w:p w14:paraId="594FCBA0">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生活垃圾的收集采用垃圾袋装化收集方式，运输工具采用压缩式垃圾运输；商业垃圾在现场进行组织，以促进再循环，其废料和生活垃圾一样收集；建筑垃圾应由部门成立专门管理小组，统一管理，统一收运利用；医院垃圾须装入医院专用的密封袋中，禁止混入生活垃圾，由环卫部门统一收集后作焚烧或消毒处理；工业垃圾由生态环境部门统一管理。</w:t>
      </w:r>
    </w:p>
    <w:p w14:paraId="3299BE94">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规划区内垃圾均送至</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高新区大型</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转运站统一转运处理。由相城区垃圾焚烧发电厂与建筑垃圾填埋场统一处置，区内不设置垃圾处置设施。</w:t>
      </w:r>
    </w:p>
    <w:p w14:paraId="4863DA2F">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（2）固体废物</w:t>
      </w:r>
    </w:p>
    <w:p w14:paraId="5ED8C754">
      <w:pPr>
        <w:widowControl w:val="0"/>
        <w:kinsoku/>
        <w:autoSpaceDE/>
        <w:autoSpaceDN/>
        <w:adjustRightInd/>
        <w:snapToGrid/>
        <w:spacing w:line="500" w:lineRule="exact"/>
        <w:ind w:firstLine="560" w:firstLineChars="200"/>
        <w:jc w:val="both"/>
        <w:textAlignment w:val="auto"/>
        <w:rPr>
          <w:rFonts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区内一般工业固体废物优先进行综合利用，危险废物处置委托区外有资质的单位承担。</w:t>
      </w:r>
    </w:p>
    <w:p w14:paraId="1AEF6A95">
      <w:pP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pPr>
      <w:bookmarkStart w:id="24" w:name="_Toc11698"/>
      <w: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br w:type="page"/>
      </w:r>
    </w:p>
    <w:p w14:paraId="50F3C052">
      <w:pPr>
        <w:pStyle w:val="3"/>
        <w:widowControl w:val="0"/>
        <w:numPr>
          <w:ilvl w:val="0"/>
          <w:numId w:val="2"/>
        </w:numPr>
        <w:kinsoku/>
        <w:autoSpaceDE/>
        <w:autoSpaceDN/>
        <w:adjustRightInd/>
        <w:snapToGrid/>
        <w:spacing w:before="156" w:after="156" w:line="500" w:lineRule="exact"/>
        <w:ind w:left="425" w:leftChars="0" w:hanging="425" w:firstLineChars="0"/>
        <w:jc w:val="both"/>
        <w:textAlignment w:val="auto"/>
        <w:rPr>
          <w:rFonts w:ascii="Times New Roman" w:hAnsi="Times New Roman" w:eastAsia="仿宋_GB2312" w:cs="Times New Roman"/>
          <w:snapToGrid/>
          <w:color w:val="000000" w:themeColor="text1"/>
          <w:szCs w:val="22"/>
          <w:highlight w:val="none"/>
          <w:lang w:eastAsia="zh-CN"/>
          <w14:textFill>
            <w14:solidFill>
              <w14:schemeClr w14:val="tx1"/>
            </w14:solidFill>
          </w14:textFill>
        </w:rPr>
      </w:pPr>
      <w: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t>规划协调性分析</w:t>
      </w:r>
      <w:bookmarkEnd w:id="24"/>
    </w:p>
    <w:p w14:paraId="5EEF0569">
      <w:pPr>
        <w:pStyle w:val="4"/>
        <w:widowControl w:val="0"/>
        <w:numPr>
          <w:ilvl w:val="1"/>
          <w:numId w:val="2"/>
        </w:numPr>
        <w:kinsoku/>
        <w:autoSpaceDE/>
        <w:autoSpaceDN/>
        <w:adjustRightInd/>
        <w:snapToGrid/>
        <w:spacing w:before="156" w:after="156" w:line="500" w:lineRule="exact"/>
        <w:ind w:left="567" w:leftChars="0" w:hanging="567" w:firstLineChars="0"/>
        <w:jc w:val="both"/>
        <w:textAlignment w:val="auto"/>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pPr>
      <w:bookmarkStart w:id="25" w:name="_Toc31492"/>
      <w:r>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t>与区域发展规划协调性分析</w:t>
      </w:r>
      <w:bookmarkEnd w:id="25"/>
    </w:p>
    <w:p w14:paraId="15F9C2DE">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相城高新区本轮规划的总体发展目标为：贯彻新发展理念，积极抢抓长三角一体化、沪苏同城等重大机遇，紧紧围绕相城区“12345”战略思路，以经济为基础，以水为纽带，以文化为内核，努力把</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相城</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高新区建设成为经济繁荣、功能完善、交通便捷、环境优美、社会和谐的长三角一二三产融合发展示范区。形成“一核三片六区”的“相城城市副中心”引领区域创新产业的发展，重塑苏州北部宜居生态城区，通过服务极核的塑造推动创新升级，争创产城融合的相城副中心。这与《长江三角洲城市群发展规划（2016</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2020，展望至2030年）》《〈长江三角洲区域一体化发展规划纲要〉江苏实施方案》《长江经济带发展规划纲要》《江苏省国民经济和社会发展第十四个五年规划和二〇三五年远景目标纲要》《江苏省城镇体系规划（2015</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2030）》《苏州市国民经济和社会发展第十四个五年规划和二〇三五年远景目标纲要》《苏州市相城区国民经济和社会发展第十四个五年规划和二〇三五年远景目标纲要》等规划和方案中发展目标要求相协调。</w:t>
      </w:r>
    </w:p>
    <w:p w14:paraId="14846773">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相城高新区规划构建“四大核心”的现代产业格局，即以生物医药、先进材料、光电信息、智能制造为核心优势作为地区主导产业。本轮规划产业定位与《长江三角洲区域一体化发展规划纲要》《〈长江三角洲区域一体化发展规划纲要〉江苏实施方案》《关于加强长江经济带工业绿色发展的指导意见》《江苏省国民经济和社会发展第十四个五年规划和二〇三五年远景目标纲要》《苏州市国民经济和社会发展第十四个五年规划和二〇三五年远景目标纲要》《苏州市相城区国民经济和社会发展第十四个五年规划和二〇三五年远景目标纲要》等对区域的产业发展要求相协调。</w:t>
      </w:r>
    </w:p>
    <w:p w14:paraId="46420F5F">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区规划远期形成望亭电厂1个主要公共热源点，望亭电厂远期最大供热能力为1800吨/小时。本轮规划供热基础设施满足《苏州市区热电联产规划（202</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3—</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2025）》的要求。</w:t>
      </w:r>
    </w:p>
    <w:p w14:paraId="24714735">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区规划</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新建黄埭水质净化厂</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，规划规模</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12</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万m</w:t>
      </w:r>
      <w:r>
        <w:rPr>
          <w:rFonts w:hint="eastAsia" w:ascii="Times New Roman" w:hAnsi="Times New Roman" w:eastAsia="仿宋_GB2312" w:cs="Times New Roman"/>
          <w:snapToGrid/>
          <w:color w:val="000000" w:themeColor="text1"/>
          <w:kern w:val="2"/>
          <w:sz w:val="28"/>
          <w:szCs w:val="22"/>
          <w:highlight w:val="none"/>
          <w:vertAlign w:val="superscript"/>
          <w:lang w:eastAsia="zh-CN"/>
          <w14:textFill>
            <w14:solidFill>
              <w14:schemeClr w14:val="tx1"/>
            </w14:solidFill>
          </w14:textFill>
        </w:rPr>
        <w:t>3</w:t>
      </w:r>
      <w:r>
        <w:rPr>
          <w:rFonts w:hint="eastAsia" w:ascii="Times New Roman" w:hAnsi="Times New Roman" w:eastAsia="仿宋_GB2312" w:cs="Times New Roman"/>
          <w:snapToGrid/>
          <w:color w:val="000000" w:themeColor="text1"/>
          <w:kern w:val="2"/>
          <w:sz w:val="28"/>
          <w:szCs w:val="22"/>
          <w:highlight w:val="none"/>
          <w:lang w:val="zh-CN" w:eastAsia="zh-CN"/>
          <w14:textFill>
            <w14:solidFill>
              <w14:schemeClr w14:val="tx1"/>
            </w14:solidFill>
          </w14:textFill>
        </w:rPr>
        <w:t>/</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d，黄埭污水厂</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和东桥污水</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厂</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均</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改泵，收集后送至</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黄埭水质净化厂</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处理。本轮规划污水处理基础设施满足《相城区污水规划修编（2017</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2035）》的要求。</w:t>
      </w:r>
    </w:p>
    <w:p w14:paraId="37ADB485">
      <w:pPr>
        <w:pStyle w:val="4"/>
        <w:widowControl w:val="0"/>
        <w:numPr>
          <w:ilvl w:val="1"/>
          <w:numId w:val="2"/>
        </w:numPr>
        <w:kinsoku/>
        <w:autoSpaceDE/>
        <w:autoSpaceDN/>
        <w:adjustRightInd/>
        <w:snapToGrid/>
        <w:spacing w:before="156" w:after="156" w:line="500" w:lineRule="exact"/>
        <w:ind w:left="567" w:leftChars="0" w:hanging="567" w:firstLineChars="0"/>
        <w:jc w:val="both"/>
        <w:textAlignment w:val="auto"/>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pPr>
      <w:bookmarkStart w:id="26" w:name="_Toc7754"/>
      <w:r>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t>与</w:t>
      </w:r>
      <w:r>
        <w:rPr>
          <w:rFonts w:hint="eastAsia" w:ascii="Times New Roman" w:hAnsi="Times New Roman" w:eastAsia="仿宋_GB2312" w:cs="Times New Roman"/>
          <w:snapToGrid/>
          <w:color w:val="000000" w:themeColor="text1"/>
          <w:kern w:val="2"/>
          <w:szCs w:val="22"/>
          <w:highlight w:val="none"/>
          <w:lang w:val="en-US" w:eastAsia="zh-CN"/>
          <w14:textFill>
            <w14:solidFill>
              <w14:schemeClr w14:val="tx1"/>
            </w14:solidFill>
          </w14:textFill>
        </w:rPr>
        <w:t>国土空间</w:t>
      </w:r>
      <w:r>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t>规划协调性分析</w:t>
      </w:r>
      <w:bookmarkEnd w:id="26"/>
    </w:p>
    <w:p w14:paraId="1E21DE94">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《苏州市国土空间总体规划（2021</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2035）》于202</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5</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年</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1</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月</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取得国务院“关于《苏州市国土空间总体规划（2021—2035年）》的批复”（国函〔2025〕8号）</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。对比苏州市国土空间总体规划，</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苏州市核定功能定位为“全国先进制造业和高新技术产业基地、区域性科技创新高地、综合型现代物流中心、具有江南水乡特色的国际旅游目的地”，与相城高新区定位相协调，对比城镇开发边界与相城区“三区三线”一致</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w:t>
      </w:r>
    </w:p>
    <w:p w14:paraId="6BED236D">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《苏州</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相城区</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国土空间总体规划》（2021</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2035年）</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于2025年取得“《省政府关于张家港市、常熟市、太仓市、昆山市、苏州工业园区、吴江区、吴中区、相城区、苏州高新区（虎丘区）国土空间总体规划（2021—2035年）的批复》（苏政复〔2025〕5号）”，本轮省政府批复进一步明确相城区发展定位为“长三角区域枢纽中心、现代化高科技中心城区”，与相城高新区定位相协调。相城区耕地保有量不低于8.2877万亩（永久基本农田保护面积不低于7.3701万亩，含委托易地代保任务1.4600万亩），生态保护红线面积不低于21.0413平方千米，城镇开发边界扩展倍数控制在基于2020年城镇建设用地规模的1.2458倍。</w:t>
      </w:r>
    </w:p>
    <w:p w14:paraId="36DBA3C5">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通过与永久基本农田、城镇开发边界、生态保护红线三条控制线对比分析。</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相城</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高新区未占用永久基本农田，永久基本农田现状基本为农林用地及闲置储备用地，后续规划实施对其维持现状；</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相城</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高新区</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规划</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建设用地均位于城镇开发边界范围内，未突破城镇开发边界；城镇开发区域均不占用生态保护红线。</w:t>
      </w:r>
    </w:p>
    <w:p w14:paraId="7013AC19">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综上，本轮规划与苏州市国土空间规划、相城区国土空间总体规划相符</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w:t>
      </w:r>
    </w:p>
    <w:p w14:paraId="1FFF51BA">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2022年，自然资源部发布《关于北京等省（区、市）启用“三区三线”划定成果作为报批建设项目用地用海依据的函》（自然资办函〔2022〕2207号），“三区三线”划定成果从2022年10月14日起正式启用，作为建设项目用地用海组卷报批的依据。同时，该划定成果已纳入《苏州市国土空间总体规划（2021—2035年）》及《苏州相城区国土空间总体规划》（2021—2035年）。</w:t>
      </w:r>
    </w:p>
    <w:p w14:paraId="44BD50A6">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通过与永久基本农田、城镇开发边界、生态保护红线三条控制线叠图分析。本轮规划范围内涉及0.53km</w:t>
      </w:r>
      <w:r>
        <w:rPr>
          <w:rFonts w:hint="eastAsia" w:ascii="Times New Roman" w:hAnsi="Times New Roman" w:eastAsia="仿宋_GB2312" w:cs="Times New Roman"/>
          <w:snapToGrid/>
          <w:color w:val="000000" w:themeColor="text1"/>
          <w:kern w:val="2"/>
          <w:sz w:val="28"/>
          <w:szCs w:val="22"/>
          <w:highlight w:val="none"/>
          <w:vertAlign w:val="superscript"/>
          <w:lang w:val="en-US" w:eastAsia="zh-CN"/>
          <w14:textFill>
            <w14:solidFill>
              <w14:schemeClr w14:val="tx1"/>
            </w14:solidFill>
          </w14:textFill>
        </w:rPr>
        <w:t>2</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永久基本农田，现状均为农林用地，本轮规划对其维持现状；规划建设用地均位于城镇开发边界范围内，1.43km</w:t>
      </w:r>
      <w:r>
        <w:rPr>
          <w:rFonts w:hint="eastAsia" w:ascii="Times New Roman" w:hAnsi="Times New Roman" w:eastAsia="仿宋_GB2312" w:cs="Times New Roman"/>
          <w:snapToGrid/>
          <w:color w:val="000000" w:themeColor="text1"/>
          <w:kern w:val="2"/>
          <w:sz w:val="28"/>
          <w:szCs w:val="22"/>
          <w:highlight w:val="none"/>
          <w:vertAlign w:val="superscript"/>
          <w:lang w:val="en-US" w:eastAsia="zh-CN"/>
          <w14:textFill>
            <w14:solidFill>
              <w14:schemeClr w14:val="tx1"/>
            </w14:solidFill>
          </w14:textFill>
        </w:rPr>
        <w:t>2</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位于城镇开发边界范围外，本轮规划均为农林用地、水域及未利用地；高新区范围内均不占用生态保护红线。综上，本轮规划与相城区“三区三线”划定成果总体规划相符。</w:t>
      </w:r>
    </w:p>
    <w:p w14:paraId="67254789">
      <w:pPr>
        <w:pStyle w:val="4"/>
        <w:widowControl w:val="0"/>
        <w:numPr>
          <w:ilvl w:val="1"/>
          <w:numId w:val="2"/>
        </w:numPr>
        <w:kinsoku/>
        <w:autoSpaceDE/>
        <w:autoSpaceDN/>
        <w:adjustRightInd/>
        <w:snapToGrid/>
        <w:spacing w:before="156" w:after="156" w:line="500" w:lineRule="exact"/>
        <w:ind w:left="567" w:leftChars="0" w:hanging="567" w:firstLineChars="0"/>
        <w:jc w:val="both"/>
        <w:textAlignment w:val="auto"/>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pPr>
      <w:bookmarkStart w:id="27" w:name="_Toc2681"/>
      <w:r>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t>与产业政策及规划协调性分析</w:t>
      </w:r>
      <w:bookmarkEnd w:id="27"/>
    </w:p>
    <w:p w14:paraId="3CBF9EAC">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对照《产业结构调整指导目录》（2024年本）、《外商投资准入特别管理措施（负面清单）（2024年版）》、《〈长江经济带发展负面清单指南（试行，2022年版）〉江苏省实施细则》（苏长江办发〔2022〕55号）等产业政策，相城高新区本轮规划主导产业不含以上文件中的禁止、淘汰类项目，且高新区后续引进的项目需满足上述文件中产业政策要求。故高新区本轮规划产业发展方向与相关产业政策相符。</w:t>
      </w:r>
    </w:p>
    <w:p w14:paraId="6424DFDE">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相城高新区规划构建“四大核心”的现代产业格局，即以生物医药、先进材料、光电信息、智能制造为核心优势作为地区主导产业，打造“3+X”的“核心优势产业 品牌名片产业”联动发展体系，积极发展现代服务业、数字产业和现代综合农业，打造多种产业品牌名片。</w:t>
      </w:r>
    </w:p>
    <w:p w14:paraId="6757E7EF">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经分析，相城高新区的产业发展方向和重点与《国务院办公厅关于促进开发区改革和创新发展的若干意见》《长江经济带创新驱动产业转型升级方案》《江苏省“十四五”制造业高质量发展规划》《江苏省“十四五”工业绿色发展规划》《江苏省“十四五”循环经济发展规划》《江苏省人民政府关于推进绿色产业发展的意见》等政策和规划的要求相符</w:t>
      </w:r>
    </w:p>
    <w:p w14:paraId="1A91D593">
      <w:pPr>
        <w:pStyle w:val="4"/>
        <w:widowControl w:val="0"/>
        <w:numPr>
          <w:ilvl w:val="1"/>
          <w:numId w:val="2"/>
        </w:numPr>
        <w:kinsoku/>
        <w:autoSpaceDE/>
        <w:autoSpaceDN/>
        <w:adjustRightInd/>
        <w:snapToGrid/>
        <w:spacing w:before="156" w:after="156" w:line="500" w:lineRule="exact"/>
        <w:ind w:left="567" w:leftChars="0" w:hanging="567" w:firstLineChars="0"/>
        <w:jc w:val="both"/>
        <w:textAlignment w:val="auto"/>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pPr>
      <w:bookmarkStart w:id="28" w:name="_Toc7384"/>
      <w:r>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t>与生态空间保护区域相关规划的协调性分析</w:t>
      </w:r>
      <w:bookmarkEnd w:id="28"/>
    </w:p>
    <w:p w14:paraId="0AA1C3DF">
      <w:pPr>
        <w:widowControl w:val="0"/>
        <w:kinsoku/>
        <w:autoSpaceDE/>
        <w:autoSpaceDN/>
        <w:adjustRightInd/>
        <w:snapToGrid/>
        <w:spacing w:line="500" w:lineRule="exact"/>
        <w:ind w:firstLine="560" w:firstLineChars="200"/>
        <w:jc w:val="both"/>
        <w:textAlignment w:val="auto"/>
        <w:rPr>
          <w:rFonts w:ascii="FangSong_GB2312" w:hAnsi="FangSong_GB2312" w:eastAsia="FangSong_GB2312" w:cs="FangSong_GB2312"/>
          <w:sz w:val="28"/>
          <w:szCs w:val="28"/>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相城高新区规划范围内不涉及国家级生态保护红线，相城高新区规划范围内涉及生态空间管控区共1处，即西塘河（相城区）清水通道维护区。经现场调研，西塘河（相城区）清水通道维护区管控范围内现状主要为绿化用地和农林用地，仅含少量工业用地，其中涉及应华精密金属制品（苏州）有限公司、物理农林机械科技（苏州）有限公司、苏州派思精密机械有限公司。上述三家企业均于生态空间管控区划定前建成。三家企业位于生态管控区内的区域均为厂区空地，未布设生产设施，且企业生产过程中无生产废水产生，在正常工况下，不存在环境风险隐患。根据《省政府办公厅关于印发江苏省生态空间管控区域调整管理办法的通知》（苏政办发〔2021〕3号）、《省政府办公厅关于印发江苏省生态空间管控区域监督管理办法的通知》（苏政办发〔2021〕20号），结合本轮规划要求（将该区域后续规划为农林用地），本次评价提出位于生态空间管控区内的用地后续应按照规划逐步退出工业用途，在退出过程中应确保生态环境不受破坏</w:t>
      </w:r>
    </w:p>
    <w:p w14:paraId="1DC60866">
      <w:pPr>
        <w:pStyle w:val="4"/>
        <w:widowControl w:val="0"/>
        <w:numPr>
          <w:ilvl w:val="1"/>
          <w:numId w:val="2"/>
        </w:numPr>
        <w:kinsoku/>
        <w:autoSpaceDE/>
        <w:autoSpaceDN/>
        <w:adjustRightInd/>
        <w:snapToGrid/>
        <w:spacing w:before="156" w:after="156" w:line="500" w:lineRule="exact"/>
        <w:ind w:left="567" w:leftChars="0" w:hanging="567" w:firstLineChars="0"/>
        <w:jc w:val="both"/>
        <w:textAlignment w:val="auto"/>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pPr>
      <w:bookmarkStart w:id="29" w:name="_Toc5672"/>
      <w:r>
        <w:rPr>
          <w:rFonts w:ascii="Times New Roman" w:hAnsi="Times New Roman" w:eastAsia="仿宋_GB2312" w:cs="Times New Roman"/>
          <w:snapToGrid/>
          <w:color w:val="000000" w:themeColor="text1"/>
          <w:kern w:val="2"/>
          <w:szCs w:val="22"/>
          <w:highlight w:val="none"/>
          <w:lang w:eastAsia="zh-CN"/>
          <w14:textFill>
            <w14:solidFill>
              <w14:schemeClr w14:val="tx1"/>
            </w14:solidFill>
          </w14:textFill>
        </w:rPr>
        <w:t>与生态环境保护和污染防治相关规划、政策协调性分析</w:t>
      </w:r>
      <w:bookmarkEnd w:id="29"/>
    </w:p>
    <w:p w14:paraId="2E693397">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相城高新区本次规划总体符合深入打好污染防治攻坚战的意见、长江经济带生态环境保护实施规划、“十四五”生态环境保护规划等文件要求，规划实施过程中，相城高新区须严格执行上述规划文件的相关规定。相城高新区本次规划总体符合深入打好污染防治攻坚战的意见、长江经济带生态环境保护实施规划、“十四五”生态环境保护规划等文件要求，规划实施过程中，相城高新区须严格执行上述规划文件的相关规定。相城高新区本次规划对主要大气污染物SO</w:t>
      </w:r>
      <w:r>
        <w:rPr>
          <w:rFonts w:hint="eastAsia" w:ascii="Times New Roman" w:hAnsi="Times New Roman" w:eastAsia="仿宋_GB2312" w:cs="Times New Roman"/>
          <w:snapToGrid/>
          <w:color w:val="000000" w:themeColor="text1"/>
          <w:kern w:val="2"/>
          <w:sz w:val="28"/>
          <w:szCs w:val="22"/>
          <w:highlight w:val="none"/>
          <w:vertAlign w:val="subscript"/>
          <w:lang w:val="en-US" w:eastAsia="zh-CN"/>
          <w14:textFill>
            <w14:solidFill>
              <w14:schemeClr w14:val="tx1"/>
            </w14:solidFill>
          </w14:textFill>
        </w:rPr>
        <w:t>2</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NOx、颗粒物、VOCs的排放提出了污染控制要求。本轮规划在引进项目时，在大气污染防治方面提出了合理规划产业布局、加强绿化、有效控制有机废气污染等措施。上述内容与《关于印发〈重点行业挥发性有机物综合治理方案〉的通知》《江苏省大气污染防治条例》《江苏省挥发性有机物清洁原料替代工作方案》等内容相符。相城高新区本次规划对主要水污染物COD、氨氮、TP、TN及重金属的排放提出了污染控制要求，对水环境目标、污水集中处理等均提出了要求，总体符合《关于加快推进城市污水处理能力建设全面提升污水集中收集处理率的实施意见》《省生态环境厅 省住房城乡建设厅 关于印发〈江苏省工业废水与生活污水分质处理工作推进方案〉的通知》《江苏省水污染防治工作方案》《江苏省工业园区水污染整治专项行动实施方案》《江苏省长江水污染防治条例》《太湖流域管理条例》《太湖流域水环境综合治理总体方案》《江苏省太湖水污染防治条例》《江苏省太湖流域水环境综合治理规划》《江苏省太湖水污染防治条例》等相关要求。本次规划拟新建黄埭水质净化厂，污水处理厂内设置工业废水处理设施，完善工业废水、生活污水分类分质处理。现状涉工业废水排放企业经评估后需纳入黄埭水质净化厂，规划新建企业涉及重金属、难生化降解废水、高盐废水、含氟废水，以及其他需接入工业污水处理厂的生产废水均应接入黄埭水质净化厂的工业污水处理设施。</w:t>
      </w:r>
    </w:p>
    <w:p w14:paraId="75C36A55">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相城高新区不属于江苏省重金属污染防控重点区域。规划不新增重点行业重点重金属排放，规划期内引进企业涉及重金属排放应配套建设厂区废水预处理，重金属需在车间或生产设施废水排放口或总排放口达到标准要求后，进入黄埭水质净化厂的工业废水处理设施。总体符合《关于进一步加强重金属污染防控的意见》《省生态环境厅印发关于进一步加强重金属污染防控工作的实施方案的通知》《关于加强涉重金属行业污染防控的意见》等相关要求，高新区应严格执行相关重金属污染物排放标准并落实相关总量控制指标，将重金属相关企业作为重点污染源实施重点监管，减少重金属污染物排放，严格落实涉重金属企业的责任。加大监督检查力度，各涉及一类重金属排放企业按照排污许可证相关要求在车间排口安装在线监控设施，严格落实国家涉重金属重点工业行业清洁生产技术推行方案有关要求，鼓励企业采用先进适用生产工艺和技术。</w:t>
      </w:r>
    </w:p>
    <w:p w14:paraId="09FC07DB">
      <w:pP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pPr>
      <w: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br w:type="page"/>
      </w:r>
    </w:p>
    <w:p w14:paraId="7A321AE5">
      <w:pPr>
        <w:pStyle w:val="3"/>
        <w:widowControl w:val="0"/>
        <w:numPr>
          <w:ilvl w:val="0"/>
          <w:numId w:val="2"/>
        </w:numPr>
        <w:kinsoku/>
        <w:autoSpaceDE/>
        <w:autoSpaceDN/>
        <w:adjustRightInd/>
        <w:snapToGrid/>
        <w:spacing w:before="156" w:after="156" w:line="500" w:lineRule="exact"/>
        <w:ind w:left="425" w:leftChars="0" w:hanging="425" w:firstLineChars="0"/>
        <w:jc w:val="both"/>
        <w:textAlignment w:val="auto"/>
        <w:rPr>
          <w:rFonts w:ascii="Times New Roman" w:hAnsi="Times New Roman" w:eastAsia="仿宋_GB2312" w:cs="Times New Roman"/>
          <w:snapToGrid/>
          <w:color w:val="000000" w:themeColor="text1"/>
          <w:szCs w:val="22"/>
          <w:highlight w:val="none"/>
          <w:lang w:eastAsia="zh-CN"/>
          <w14:textFill>
            <w14:solidFill>
              <w14:schemeClr w14:val="tx1"/>
            </w14:solidFill>
          </w14:textFill>
        </w:rPr>
      </w:pPr>
      <w:bookmarkStart w:id="30" w:name="_Toc14688"/>
      <w: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t>环境质量现状</w:t>
      </w:r>
      <w:bookmarkEnd w:id="30"/>
    </w:p>
    <w:p w14:paraId="246EAB62">
      <w:pPr>
        <w:spacing w:before="286" w:line="213" w:lineRule="auto"/>
        <w:ind w:left="559"/>
        <w:rPr>
          <w:rFonts w:ascii="FangSong_GB2312" w:hAnsi="FangSong_GB2312" w:eastAsia="FangSong_GB2312" w:cs="FangSong_GB2312"/>
          <w:sz w:val="28"/>
          <w:szCs w:val="28"/>
        </w:rPr>
      </w:pPr>
      <w:r>
        <w:rPr>
          <w:rFonts w:ascii="FangSong_GB2312" w:hAnsi="FangSong_GB2312" w:eastAsia="FangSong_GB2312" w:cs="FangSong_GB2312"/>
          <w:b/>
          <w:bCs/>
          <w:spacing w:val="-2"/>
          <w:sz w:val="28"/>
          <w:szCs w:val="28"/>
        </w:rPr>
        <w:t>（</w:t>
      </w:r>
      <w:r>
        <w:rPr>
          <w:rFonts w:ascii="Times New Roman" w:hAnsi="Times New Roman" w:eastAsia="Times New Roman" w:cs="Times New Roman"/>
          <w:b/>
          <w:bCs/>
          <w:spacing w:val="-2"/>
          <w:sz w:val="28"/>
          <w:szCs w:val="28"/>
        </w:rPr>
        <w:t>1</w:t>
      </w:r>
      <w:r>
        <w:rPr>
          <w:rFonts w:ascii="FangSong_GB2312" w:hAnsi="FangSong_GB2312" w:eastAsia="FangSong_GB2312" w:cs="FangSong_GB2312"/>
          <w:b/>
          <w:bCs/>
          <w:spacing w:val="-2"/>
          <w:sz w:val="28"/>
          <w:szCs w:val="28"/>
        </w:rPr>
        <w:t>）环境空气质量现状</w:t>
      </w:r>
    </w:p>
    <w:p w14:paraId="696D7CE5">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区域环境空气</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质量</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：根据《苏州市相城区生态环境质量报告书》（202</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4</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年度），</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相城区大气基本污染物细颗粒物、可吸入颗粒物、二氧化氮、二氧化硫、一氧化碳2024年均值均达到《环境空气质量标准》（GB 3095—2012）二级限值</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w:t>
      </w:r>
    </w:p>
    <w:p w14:paraId="051411E9">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现状补充监测：本次评价补充监测的特征污染物均能达到相应环境空气质量标准要求。</w:t>
      </w:r>
    </w:p>
    <w:p w14:paraId="7AB00465">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变化趋势分析：自2016年以来，相城区大气环境质量保持持续向好态势。</w:t>
      </w:r>
    </w:p>
    <w:p w14:paraId="25FAC90F">
      <w:pPr>
        <w:spacing w:before="286" w:line="213" w:lineRule="auto"/>
        <w:ind w:left="559"/>
        <w:rPr>
          <w:rFonts w:ascii="FangSong_GB2312" w:hAnsi="FangSong_GB2312" w:eastAsia="FangSong_GB2312" w:cs="FangSong_GB2312"/>
          <w:b/>
          <w:bCs/>
          <w:spacing w:val="-2"/>
          <w:sz w:val="28"/>
          <w:szCs w:val="28"/>
        </w:rPr>
      </w:pPr>
      <w:r>
        <w:rPr>
          <w:rFonts w:ascii="FangSong_GB2312" w:hAnsi="FangSong_GB2312" w:eastAsia="FangSong_GB2312" w:cs="FangSong_GB2312"/>
          <w:b/>
          <w:bCs/>
          <w:spacing w:val="-2"/>
          <w:sz w:val="28"/>
          <w:szCs w:val="28"/>
        </w:rPr>
        <w:t>（2）地表水环境质量现状</w:t>
      </w:r>
    </w:p>
    <w:p w14:paraId="07F3B655">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现状补充监测：</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从监测结果可以看出，高新区范围内地表水总体水质较好，各监测断面及监测因子均满足《地表水环境质量标准》（GB3838—2002）中相应水功能区的标准要求</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w:t>
      </w:r>
    </w:p>
    <w:p w14:paraId="57761048">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变化趋势分析：根据《苏州市相城区生态环境质量报告书》（202</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4</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年度），20</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16</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年至202</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4</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年相城区主要河湖污染指数变化趋势基本呈好转趋势。</w:t>
      </w:r>
    </w:p>
    <w:p w14:paraId="2829B6B7">
      <w:pPr>
        <w:spacing w:before="286" w:line="213" w:lineRule="auto"/>
        <w:ind w:left="559"/>
        <w:rPr>
          <w:rFonts w:ascii="FangSong_GB2312" w:hAnsi="FangSong_GB2312" w:eastAsia="FangSong_GB2312" w:cs="FangSong_GB2312"/>
          <w:b/>
          <w:bCs/>
          <w:spacing w:val="-2"/>
          <w:sz w:val="28"/>
          <w:szCs w:val="28"/>
        </w:rPr>
      </w:pPr>
      <w:r>
        <w:rPr>
          <w:rFonts w:ascii="FangSong_GB2312" w:hAnsi="FangSong_GB2312" w:eastAsia="FangSong_GB2312" w:cs="FangSong_GB2312"/>
          <w:b/>
          <w:bCs/>
          <w:spacing w:val="-2"/>
          <w:sz w:val="28"/>
          <w:szCs w:val="28"/>
        </w:rPr>
        <w:t>（3）声环境质量现状</w:t>
      </w:r>
    </w:p>
    <w:p w14:paraId="7DD98899">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现状监测：</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区各类功能区的噪声测点均能达标，区内声环境功能区状况良好。</w:t>
      </w:r>
    </w:p>
    <w:p w14:paraId="31DC8B2A">
      <w:pPr>
        <w:spacing w:before="286" w:line="213" w:lineRule="auto"/>
        <w:ind w:left="559"/>
        <w:rPr>
          <w:rFonts w:ascii="FangSong_GB2312" w:hAnsi="FangSong_GB2312" w:eastAsia="FangSong_GB2312" w:cs="FangSong_GB2312"/>
          <w:b/>
          <w:bCs/>
          <w:spacing w:val="-2"/>
          <w:sz w:val="28"/>
          <w:szCs w:val="28"/>
        </w:rPr>
      </w:pPr>
      <w:r>
        <w:rPr>
          <w:rFonts w:ascii="FangSong_GB2312" w:hAnsi="FangSong_GB2312" w:eastAsia="FangSong_GB2312" w:cs="FangSong_GB2312"/>
          <w:b/>
          <w:bCs/>
          <w:spacing w:val="-2"/>
          <w:sz w:val="28"/>
          <w:szCs w:val="28"/>
        </w:rPr>
        <w:t>（4）地下水环境质量现状</w:t>
      </w:r>
    </w:p>
    <w:p w14:paraId="5ED5B210">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现状监测：地下水各监测点各项指标均满足或优于《地下水质量标准》（GB/T14848-2017）Ⅳ类标准。</w:t>
      </w:r>
    </w:p>
    <w:p w14:paraId="61D4E075">
      <w:pPr>
        <w:spacing w:before="286" w:line="213" w:lineRule="auto"/>
        <w:ind w:left="559"/>
        <w:rPr>
          <w:rFonts w:ascii="FangSong_GB2312" w:hAnsi="FangSong_GB2312" w:eastAsia="FangSong_GB2312" w:cs="FangSong_GB2312"/>
          <w:b/>
          <w:bCs/>
          <w:spacing w:val="-2"/>
          <w:sz w:val="28"/>
          <w:szCs w:val="28"/>
        </w:rPr>
      </w:pPr>
      <w:r>
        <w:rPr>
          <w:rFonts w:ascii="FangSong_GB2312" w:hAnsi="FangSong_GB2312" w:eastAsia="FangSong_GB2312" w:cs="FangSong_GB2312"/>
          <w:b/>
          <w:bCs/>
          <w:spacing w:val="-2"/>
          <w:sz w:val="28"/>
          <w:szCs w:val="28"/>
        </w:rPr>
        <w:t>（5）土壤环境质量现状</w:t>
      </w:r>
    </w:p>
    <w:p w14:paraId="0EE37118">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现状监测：评价区域内建设用地各土壤监测点位各项指标均未超出《土壤环境质量</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 xml:space="preserve"> </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建设用地土壤污染风险管控标准（试行）》（GB36600</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2018）中的相应标准，农用地各土壤监测点位各项指标均未超出《土壤环境质量 农用地土壤污染风险管控标准（试行）》（GB15618</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2018）中的相应标准。</w:t>
      </w:r>
    </w:p>
    <w:p w14:paraId="55A5F17F">
      <w:pPr>
        <w:numPr>
          <w:ilvl w:val="0"/>
          <w:numId w:val="4"/>
        </w:numPr>
        <w:spacing w:before="286" w:line="213" w:lineRule="auto"/>
        <w:ind w:left="559"/>
        <w:rPr>
          <w:rFonts w:ascii="FangSong_GB2312" w:hAnsi="FangSong_GB2312" w:eastAsia="FangSong_GB2312" w:cs="FangSong_GB2312"/>
          <w:b/>
          <w:bCs/>
          <w:spacing w:val="-2"/>
          <w:sz w:val="28"/>
          <w:szCs w:val="28"/>
        </w:rPr>
      </w:pPr>
      <w:r>
        <w:rPr>
          <w:rFonts w:ascii="FangSong_GB2312" w:hAnsi="FangSong_GB2312" w:eastAsia="FangSong_GB2312" w:cs="FangSong_GB2312"/>
          <w:b/>
          <w:bCs/>
          <w:spacing w:val="-2"/>
          <w:sz w:val="28"/>
          <w:szCs w:val="28"/>
        </w:rPr>
        <w:t>河流底泥环境质量现状</w:t>
      </w:r>
    </w:p>
    <w:p w14:paraId="744AEAA4">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东桥污水厂排口、黄埭污水厂排口、黄埭水质净化厂排口污染物浓度均未超过《土壤环境质量 农用地土壤污染风险管控标准（试行）》（GB15618—2018）筛选值限值</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w:t>
      </w:r>
    </w:p>
    <w:p w14:paraId="7541BCA7">
      <w:pPr>
        <w:numPr>
          <w:ilvl w:val="0"/>
          <w:numId w:val="4"/>
        </w:numPr>
        <w:spacing w:before="286" w:line="213" w:lineRule="auto"/>
        <w:ind w:left="559"/>
        <w:rPr>
          <w:rFonts w:hint="eastAsia" w:ascii="FangSong_GB2312" w:hAnsi="FangSong_GB2312" w:eastAsia="FangSong_GB2312" w:cs="FangSong_GB2312"/>
          <w:b/>
          <w:bCs/>
          <w:spacing w:val="-2"/>
          <w:sz w:val="28"/>
          <w:szCs w:val="28"/>
          <w:lang w:eastAsia="zh-CN"/>
        </w:rPr>
      </w:pPr>
      <w:r>
        <w:rPr>
          <w:rFonts w:hint="eastAsia" w:ascii="FangSong_GB2312" w:hAnsi="FangSong_GB2312" w:eastAsia="FangSong_GB2312" w:cs="FangSong_GB2312"/>
          <w:b/>
          <w:bCs/>
          <w:spacing w:val="-2"/>
          <w:sz w:val="28"/>
          <w:szCs w:val="28"/>
          <w:lang w:eastAsia="zh-CN"/>
        </w:rPr>
        <w:t>生态环境现状</w:t>
      </w:r>
    </w:p>
    <w:p w14:paraId="0FF11257">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根据《苏州市相城区生物多样性保护规划》（苏相环〔2025〕19号），相城区2023年完成全域生物多样性本底调查。项目所在地植被类型相对较少，主要有人工林、灌丛和灌草丛、人工草坪植被等。区域内哺乳动物8种，隶属于5目5科8属；鸟类155种，隶属于15目47科99属；两栖动物1目4科7种，为黑斑侧褶蛙、金线侧褶蛙、牛蛙、饰纹姬蛙、小弧斑姬蛙、泽陆蛙、中华蟾蜍；爬行动物2目4科7种，分别为中华鳖、花龟、赤链蛇、乌梢蛇、红纹滞卵蛇、多疣壁虎和无蹼壁虎等。陆生昆虫蝴蝶16种，隶属于5科15属。灰蝶科和蛱蝶科最多，有5属5种。其中，黄钩蛱蝶、斑缘豆粉蝶为优势种，未发现珍稀濒危保护物种。其他昆虫种类158种（属），隶属于12目79科152属。鱼类42种，隶属于6目10科34属，其中，鲫为调查到的常见种。底栖动物36种，隶属于3门28科33属，其中，软体动物种类数最多，其次为节肢动物。收录于《国家重点保护野生动物名录》的有1种，为背瘤丽蚌（Ⅱ级）。浮游植物8门97属182种（属），其中，绿藻门种类数最多，其次为硅藻门。浮游动物3大类48种（属），其中，轮虫类种类数最多，枝角类次之。水生维管植物94种，包括蕨类植物4种，被子植物90种，隶属于44科76属，收录于《国家重点保护野生植物名录》的有莲（Ⅱ级），为栽培种。目前存在的生态问题以外来物种入侵和生物多样性保护空间格局有待优化</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w:t>
      </w:r>
    </w:p>
    <w:p w14:paraId="663056C7">
      <w:pP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pPr>
      <w: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br w:type="page"/>
      </w:r>
    </w:p>
    <w:p w14:paraId="614E4CE4">
      <w:pPr>
        <w:pStyle w:val="3"/>
        <w:widowControl w:val="0"/>
        <w:numPr>
          <w:ilvl w:val="0"/>
          <w:numId w:val="2"/>
        </w:numPr>
        <w:kinsoku/>
        <w:autoSpaceDE/>
        <w:autoSpaceDN/>
        <w:adjustRightInd/>
        <w:snapToGrid/>
        <w:spacing w:before="156" w:after="156" w:line="500" w:lineRule="exact"/>
        <w:ind w:left="425" w:leftChars="0" w:hanging="425" w:firstLineChars="0"/>
        <w:jc w:val="both"/>
        <w:textAlignment w:val="auto"/>
        <w:rPr>
          <w:rFonts w:ascii="Times New Roman" w:hAnsi="Times New Roman" w:eastAsia="仿宋_GB2312" w:cs="Times New Roman"/>
          <w:snapToGrid/>
          <w:color w:val="000000" w:themeColor="text1"/>
          <w:szCs w:val="22"/>
          <w:highlight w:val="none"/>
          <w:lang w:eastAsia="zh-CN"/>
          <w14:textFill>
            <w14:solidFill>
              <w14:schemeClr w14:val="tx1"/>
            </w14:solidFill>
          </w14:textFill>
        </w:rPr>
      </w:pPr>
      <w:bookmarkStart w:id="31" w:name="_Toc240"/>
      <w: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t>环境影响预测结论</w:t>
      </w:r>
      <w:bookmarkEnd w:id="31"/>
    </w:p>
    <w:p w14:paraId="31928BB2">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（1）大气环境：根据大气环境影响预测结果，规划期</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区主要大气污染物SO</w:t>
      </w:r>
      <w:r>
        <w:rPr>
          <w:rFonts w:hint="eastAsia" w:ascii="Times New Roman" w:hAnsi="Times New Roman" w:eastAsia="仿宋_GB2312" w:cs="Times New Roman"/>
          <w:snapToGrid/>
          <w:color w:val="000000" w:themeColor="text1"/>
          <w:kern w:val="2"/>
          <w:sz w:val="28"/>
          <w:szCs w:val="22"/>
          <w:highlight w:val="none"/>
          <w:vertAlign w:val="subscript"/>
          <w:lang w:eastAsia="zh-CN"/>
          <w14:textFill>
            <w14:solidFill>
              <w14:schemeClr w14:val="tx1"/>
            </w14:solidFill>
          </w14:textFill>
        </w:rPr>
        <w:t>2</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、PM</w:t>
      </w:r>
      <w:r>
        <w:rPr>
          <w:rFonts w:hint="eastAsia" w:ascii="Times New Roman" w:hAnsi="Times New Roman" w:eastAsia="仿宋_GB2312" w:cs="Times New Roman"/>
          <w:snapToGrid/>
          <w:color w:val="000000" w:themeColor="text1"/>
          <w:kern w:val="2"/>
          <w:sz w:val="28"/>
          <w:szCs w:val="22"/>
          <w:highlight w:val="none"/>
          <w:vertAlign w:val="subscript"/>
          <w:lang w:eastAsia="zh-CN"/>
          <w14:textFill>
            <w14:solidFill>
              <w14:schemeClr w14:val="tx1"/>
            </w14:solidFill>
          </w14:textFill>
        </w:rPr>
        <w:t>10</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、PM</w:t>
      </w:r>
      <w:r>
        <w:rPr>
          <w:rFonts w:hint="eastAsia" w:ascii="Times New Roman" w:hAnsi="Times New Roman" w:eastAsia="仿宋_GB2312" w:cs="Times New Roman"/>
          <w:snapToGrid/>
          <w:color w:val="000000" w:themeColor="text1"/>
          <w:kern w:val="2"/>
          <w:sz w:val="28"/>
          <w:szCs w:val="22"/>
          <w:highlight w:val="none"/>
          <w:vertAlign w:val="subscript"/>
          <w:lang w:eastAsia="zh-CN"/>
          <w14:textFill>
            <w14:solidFill>
              <w14:schemeClr w14:val="tx1"/>
            </w14:solidFill>
          </w14:textFill>
        </w:rPr>
        <w:t>2.5</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的保证率日平均质量浓度和年平均质量浓度均符合二类区环境质量标准；特征污染物非甲烷总烃、甲苯、二甲苯、HCl、氨、硫酸雾、氟化物、</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硫化氢</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叠加后的短期浓度均符合相关环境质量标准，区域环境影响可接受。</w:t>
      </w:r>
    </w:p>
    <w:p w14:paraId="42C7F62C">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（2）地表水环境：</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区企业产生的废水现状分别排入东桥污水厂和黄埭污水厂，东桥污水厂尾水排入杨家湾汇入东浒河，黄埭污水厂尾水排入积巷桥港汇入东里河，规划东桥污水厂和黄埭污水厂均改为泵站，区域内废水排入黄埭水质净化厂，综合污水处理设施和工业污水处理设施尾水分别通过管道排入油车浜后汇入浒东运河。黄埭水质净化厂综合污水处理后尾水排放尾水中COD、NH</w:t>
      </w:r>
      <w:r>
        <w:rPr>
          <w:rFonts w:hint="eastAsia" w:ascii="Times New Roman" w:hAnsi="Times New Roman" w:eastAsia="仿宋_GB2312" w:cs="Times New Roman"/>
          <w:snapToGrid/>
          <w:color w:val="000000" w:themeColor="text1"/>
          <w:kern w:val="2"/>
          <w:sz w:val="28"/>
          <w:szCs w:val="22"/>
          <w:highlight w:val="none"/>
          <w:vertAlign w:val="subscript"/>
          <w:lang w:val="en-US" w:eastAsia="zh-CN"/>
          <w14:textFill>
            <w14:solidFill>
              <w14:schemeClr w14:val="tx1"/>
            </w14:solidFill>
          </w14:textFill>
        </w:rPr>
        <w:t>3</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N、TP和TN执行《市委办公室市政府办公室印发〈关于高质量推进城乡生活污水治理三年行动计划的实施意见〉的通知》（苏委办发〔2018〕77号）中的“苏州特别排放限值”，其余污染因子执行《城镇污水处理厂污染物排放标准》（GB18918—2002）及其修改单中的一级A标准；工业废水执行《太湖地区城镇污水</w:t>
      </w:r>
      <w:bookmarkStart w:id="37" w:name="_GoBack"/>
      <w:bookmarkEnd w:id="37"/>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处理厂及重点工业行业主要水污染排放限值》（DB32/1072—2018）表1一、二级保护区内主要水污染物排放标准以及《城镇污水处理厂污染物排放标准》（GB18918—2002）一级A标准。</w:t>
      </w:r>
    </w:p>
    <w:p w14:paraId="153601CD">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经预测分析，规划实施后，黄埭水质净化厂尾水在正常工况下排放时，排污口下游COD、NH</w:t>
      </w:r>
      <w:r>
        <w:rPr>
          <w:rFonts w:hint="eastAsia" w:ascii="Times New Roman" w:hAnsi="Times New Roman" w:eastAsia="仿宋_GB2312" w:cs="Times New Roman"/>
          <w:snapToGrid/>
          <w:color w:val="000000" w:themeColor="text1"/>
          <w:kern w:val="2"/>
          <w:sz w:val="28"/>
          <w:szCs w:val="22"/>
          <w:highlight w:val="none"/>
          <w:vertAlign w:val="subscript"/>
          <w:lang w:val="en-US" w:eastAsia="zh-CN"/>
          <w14:textFill>
            <w14:solidFill>
              <w14:schemeClr w14:val="tx1"/>
            </w14:solidFill>
          </w14:textFill>
        </w:rPr>
        <w:t>3</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-N浓度已达到相应水质标准要求，不会对浒东运河、黄泥港以及京杭运河河流水质产生不利影响，水质类别可维持现状</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w:t>
      </w:r>
    </w:p>
    <w:p w14:paraId="1659E138">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（3）地下水环境：正常情况下，在采取分区域防渗后，入区企业生产及生活污水不会对区内地下水水质造成影响。通过典型情景预测地下水环境影响，在非正常工况下污水站发生</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污水</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泄漏后一般可以控制在入区企业范围内，因此污染物对周边的地下水环境影响较小，高浓度的污染物事故状态防护措施失效条件下，主要对废水排放处小范围内的地下水会产生一定影响。</w:t>
      </w:r>
    </w:p>
    <w:p w14:paraId="03000722">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（4）声环境：根据噪声预测，在道路旁没有任何声阻碍物（如绿化带）的情况下，对照交通干线的声环境质量标准，主干路红线外20</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m</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处昼间、夜间噪声值均未超过4a类声功能区标准。规划期经</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交通噪声对区域声环境的影响较小。通过实施区内道路两侧、居住区四周的绿化隔离带建设，采取交通管控手段等措施，可减轻外环境对区内声环境敏感保护目标的影响。</w:t>
      </w:r>
    </w:p>
    <w:p w14:paraId="1211B462">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（5）土壤环境：由预测结果可以看出，规划远期评价范围内土壤中重金属的预测值分别满足《土壤环境质量 建设用地土壤污染风险管控标准（试行）》（GB36600</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2018）筛选值第一类建设用地及《</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土壤环境质量 农用地土壤污染风险管控标准</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（试行）》（GB15618</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2018）相关标准，二噁英的预测值满足《</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土壤环境质量</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 xml:space="preserve"> 建设用地土壤污染风险管控标准（试行）》（GB36600</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2018）筛选值第二类建设用地标准值。在</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区对原辅材料、固体废物临时堆放场所和运输途径严格管理，并做好</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区总体绿化工作等前提下，</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区建设对土壤环境影响较小。</w:t>
      </w:r>
    </w:p>
    <w:p w14:paraId="30AB4177">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（6）环境风险：以</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区内典型企业进行泄漏及火灾事故影响预测，根据环境风险影响预测结果，污染物扩散可控制在厂区内及周边，对周边敏感目标影响可接受。</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区在本轮规划建设过程中必须加强事故防范，杜绝事故发生。一旦发生环境风险事故，必须在最短时间内采取应急措施，以尽可能降低对人员的伤害，控制事故影响程度。</w:t>
      </w:r>
    </w:p>
    <w:p w14:paraId="4A7B3549">
      <w:pP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pPr>
      <w: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br w:type="page"/>
      </w:r>
    </w:p>
    <w:p w14:paraId="5D010EF9">
      <w:pPr>
        <w:pStyle w:val="3"/>
        <w:widowControl w:val="0"/>
        <w:numPr>
          <w:ilvl w:val="0"/>
          <w:numId w:val="2"/>
        </w:numPr>
        <w:kinsoku/>
        <w:autoSpaceDE/>
        <w:autoSpaceDN/>
        <w:adjustRightInd/>
        <w:snapToGrid/>
        <w:spacing w:before="156" w:after="156" w:line="500" w:lineRule="exact"/>
        <w:ind w:left="425" w:leftChars="0" w:hanging="425" w:firstLineChars="0"/>
        <w:jc w:val="both"/>
        <w:textAlignment w:val="auto"/>
        <w:rPr>
          <w:rFonts w:ascii="Times New Roman" w:hAnsi="Times New Roman" w:eastAsia="仿宋_GB2312" w:cs="Times New Roman"/>
          <w:snapToGrid/>
          <w:color w:val="000000" w:themeColor="text1"/>
          <w:szCs w:val="22"/>
          <w:highlight w:val="none"/>
          <w:lang w:eastAsia="zh-CN"/>
          <w14:textFill>
            <w14:solidFill>
              <w14:schemeClr w14:val="tx1"/>
            </w14:solidFill>
          </w14:textFill>
        </w:rPr>
      </w:pPr>
      <w:bookmarkStart w:id="32" w:name="_Toc14983"/>
      <w: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t>规划方案综合论证</w:t>
      </w:r>
      <w:bookmarkEnd w:id="32"/>
    </w:p>
    <w:p w14:paraId="01D6FC23">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相城</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本轮规划目标与发展定位符合国家、江苏省、苏州市的各个层次区域发展战略、城市总规、国民经济“十四五”规划等相关规划政策。空间布局规划中各功能组团之间既有各自的功能定位又能互为补充，有利于产业组群式集聚发展、污染物集中控制，有利于构建和谐人居环境，符合</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区总体发展定位，</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功能布局总体合理。产业发展方向和重点与《国务院办公厅关于促进开发区改革和创新发展的若干意见》《长江经济带创新驱动产业转型升级方案》《江苏省“十四五”制造业高质量发展规划》《江苏省“十四五”工业绿色发展规划》《省政府关于推动生物医药产业高质量发展的意见》《关于促进全省生物医药产业高质量发展的若干政策措施》《江苏省人民政府关于推进绿色产业发展的意见》《苏州市生物医药产业发展规划》等政策和规划的要求相符。</w:t>
      </w:r>
    </w:p>
    <w:p w14:paraId="0A893316">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根据环境影响预测评价结果，本规划实施后，相城</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区本轮规划的实施不会改变区域现状环境功能。本轮规划基础设施具有一定的环境合理性。</w:t>
      </w:r>
    </w:p>
    <w:p w14:paraId="452822CC">
      <w:pP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pPr>
      <w: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br w:type="page"/>
      </w:r>
    </w:p>
    <w:p w14:paraId="5D5F3397">
      <w:pPr>
        <w:pStyle w:val="3"/>
        <w:widowControl w:val="0"/>
        <w:numPr>
          <w:ilvl w:val="0"/>
          <w:numId w:val="2"/>
        </w:numPr>
        <w:kinsoku/>
        <w:autoSpaceDE/>
        <w:autoSpaceDN/>
        <w:adjustRightInd/>
        <w:snapToGrid/>
        <w:spacing w:before="156" w:after="156" w:line="500" w:lineRule="exact"/>
        <w:ind w:left="425" w:leftChars="0" w:hanging="425" w:firstLineChars="0"/>
        <w:jc w:val="both"/>
        <w:textAlignment w:val="auto"/>
        <w:rPr>
          <w:rFonts w:ascii="Times New Roman" w:hAnsi="Times New Roman" w:eastAsia="仿宋_GB2312" w:cs="Times New Roman"/>
          <w:snapToGrid/>
          <w:color w:val="000000" w:themeColor="text1"/>
          <w:szCs w:val="22"/>
          <w:highlight w:val="none"/>
          <w:lang w:eastAsia="zh-CN"/>
          <w14:textFill>
            <w14:solidFill>
              <w14:schemeClr w14:val="tx1"/>
            </w14:solidFill>
          </w14:textFill>
        </w:rPr>
      </w:pPr>
      <w:bookmarkStart w:id="33" w:name="_Toc12571"/>
      <w: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t>环境影响减缓措施</w:t>
      </w:r>
      <w:bookmarkEnd w:id="33"/>
    </w:p>
    <w:p w14:paraId="66005C35">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（1）大气环境</w:t>
      </w:r>
    </w:p>
    <w:p w14:paraId="1A1F8D92">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严格禁止区内企业新建燃煤、燃重油等重污染燃料锅炉或工业炉窑，需要自建锅炉或工业炉窑的项目，应使用天然气、电等清洁能源，燃气锅炉同时要求实施低氮燃烧改造。产业片区禁止引入高耗能、高污染物排放项目。对于涉及喷涂、印刷等工序的企业，禁止建设使用高VOCs含量的涂料、油墨、胶粘剂等项目，工业涂装、包装印刷、纺织、木材加工等行业以及涂料、油墨等生产企业的新（改、扩）建项目需满足低（无）VOCs含量限值要求。对入区企业或项目生产过程中产生的工艺废气，应进行最大限度地集中收集处理后达标排放。</w:t>
      </w:r>
    </w:p>
    <w:p w14:paraId="0238705F">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（2）地表水</w:t>
      </w:r>
    </w:p>
    <w:p w14:paraId="3ED4A699">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园区实行从严管理，园区新入区企业废水接入相应污水处理厂集中处理后达标排放，根据产业发展规划，优先引进用水量少且易处理的项目，严格控制对水环境有较大影响的项目进入区内。各企业应按照清污分流、雨污分流原则建立完善的排水系统，确保各类废水得到有效收集和处理。鼓励企业实施清洁生产、采用先进生产工艺，减少废水污染物的产生。</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生物医药</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产业、</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光电</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信息产业、高端装备制造产业、新材料产业各行业针对自身废水特点，遵循分质处理的原则，对厂内生产废水进行不同的预处理，同生活污水预处理后排入污水管网，确保接管废水达标。加强对区内工业企业废水排放的监管，积极推动其工艺废水的深度处理与回用。</w:t>
      </w:r>
    </w:p>
    <w:p w14:paraId="1FA74C86">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本轮规划企业重金属排放应满足标准中直排限值要求，涉及重金属污染物（铅、汞、镉、铬和砷）排放的企业应实行“等量替代”原则。园区内涉及排放含氮、磷等污染物企业和项目（江苏省太湖流域战略性新兴产业类别目录中的项目除外）的工业废水均经预处理后通过企业自建的蒸发装置进行处理，蒸发后的残渣做危废处置，蒸汽冷凝水回用于生产，不外排；战略性新兴产业项目产生的废水应经自建的污水预处理设施处理达接管标准后接管。</w:t>
      </w:r>
    </w:p>
    <w:p w14:paraId="05583991">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（3）地下水、土壤</w:t>
      </w:r>
    </w:p>
    <w:p w14:paraId="101DE2BC">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区域内严格限制开采地下水，加强对区内企业废水排放的监管和工业固废的污染整治，严防废渣液渗漏污染地下水；加强地下水的监测，根据区域地下水流向、污染源分布情况及污染物在地下水中的扩散形式，在</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区范围内建立地下水长期监测井，定期进行地下水动态监测；将地下水污染应急纳入</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区整体环境突发应急，一旦发现地下水污染事故，立即启动应急预案、采取应急措施控制地下水污染，并使污染得到治理。</w:t>
      </w:r>
    </w:p>
    <w:p w14:paraId="5D68461C">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（4）噪声</w:t>
      </w:r>
    </w:p>
    <w:p w14:paraId="3974BB30">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加强工业企业噪声污染的防治与管理；加强交通噪声污染的防治与管理；加强建筑施工噪声的防治与管理。</w:t>
      </w:r>
    </w:p>
    <w:p w14:paraId="0C2230ED">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（5）固废</w:t>
      </w:r>
    </w:p>
    <w:p w14:paraId="63B27CAB">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完善固体废物收集系统；加强工业固废的管理与处置；加强危险废物转移处置监管；强化生活垃圾和建筑垃圾综合利用和无害化处置。</w:t>
      </w:r>
    </w:p>
    <w:p w14:paraId="7B8D9605">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（6）生态</w:t>
      </w:r>
    </w:p>
    <w:p w14:paraId="787F65E6">
      <w:pPr>
        <w:widowControl w:val="0"/>
        <w:kinsoku/>
        <w:autoSpaceDE/>
        <w:autoSpaceDN/>
        <w:adjustRightInd/>
        <w:snapToGrid/>
        <w:spacing w:line="500" w:lineRule="exact"/>
        <w:ind w:firstLine="560" w:firstLineChars="200"/>
        <w:jc w:val="both"/>
        <w:textAlignment w:val="auto"/>
        <w:rPr>
          <w:rFonts w:ascii="FangSong_GB2312" w:hAnsi="FangSong_GB2312" w:eastAsia="FangSong_GB2312" w:cs="FangSong_GB2312"/>
          <w:sz w:val="28"/>
          <w:szCs w:val="28"/>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加强区内施工过程生态环境保护，教育施工人员在施工过程中注重对</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区内生物多样性保护。优化绿化树种选择，考虑景观效果的同时需充分考虑树种的降噪、滞尘、吸收污染物、固碳等生态功能。</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须严格执行《省政府关于印发江苏省生态空间管控区域规划的通知》（苏政发〔2020〕1号）文件要求，确保“功能不降低、面积不减少、性质不改变”，形成符合江苏实际的生产、生活和生态空间分布格局，确保具有重要生态功能的区域、重要生态系统以及主要物种得到有效保护。</w:t>
      </w:r>
    </w:p>
    <w:p w14:paraId="18CE950A">
      <w:pPr>
        <w:spacing w:line="329" w:lineRule="auto"/>
        <w:rPr>
          <w:rFonts w:ascii="FangSong_GB2312" w:hAnsi="FangSong_GB2312" w:eastAsia="FangSong_GB2312" w:cs="FangSong_GB2312"/>
          <w:sz w:val="28"/>
          <w:szCs w:val="28"/>
        </w:rPr>
        <w:sectPr>
          <w:footerReference r:id="rId5" w:type="default"/>
          <w:pgSz w:w="11906" w:h="16839"/>
          <w:pgMar w:top="1431" w:right="1717" w:bottom="1166" w:left="1785" w:header="0" w:footer="1003" w:gutter="0"/>
          <w:pgNumType w:fmt="decimal" w:start="1"/>
          <w:cols w:space="720" w:num="1"/>
        </w:sectPr>
      </w:pPr>
    </w:p>
    <w:p w14:paraId="36EB1A85">
      <w:pPr>
        <w:pStyle w:val="3"/>
        <w:widowControl w:val="0"/>
        <w:numPr>
          <w:ilvl w:val="0"/>
          <w:numId w:val="2"/>
        </w:numPr>
        <w:kinsoku/>
        <w:autoSpaceDE/>
        <w:autoSpaceDN/>
        <w:adjustRightInd/>
        <w:snapToGrid/>
        <w:spacing w:before="156" w:after="156" w:line="500" w:lineRule="exact"/>
        <w:ind w:left="425" w:leftChars="0" w:hanging="425" w:firstLineChars="0"/>
        <w:jc w:val="both"/>
        <w:textAlignment w:val="auto"/>
        <w:rPr>
          <w:rFonts w:ascii="Times New Roman" w:hAnsi="Times New Roman" w:eastAsia="仿宋_GB2312" w:cs="Times New Roman"/>
          <w:snapToGrid/>
          <w:color w:val="000000" w:themeColor="text1"/>
          <w:szCs w:val="22"/>
          <w:highlight w:val="none"/>
          <w:lang w:eastAsia="zh-CN"/>
          <w14:textFill>
            <w14:solidFill>
              <w14:schemeClr w14:val="tx1"/>
            </w14:solidFill>
          </w14:textFill>
        </w:rPr>
      </w:pPr>
      <w:bookmarkStart w:id="34" w:name="_Toc9922"/>
      <w: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t>公众参与方案</w:t>
      </w:r>
      <w:bookmarkEnd w:id="34"/>
    </w:p>
    <w:p w14:paraId="4FC95857">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（1）公开环境信息的次数、内容、方式</w:t>
      </w:r>
    </w:p>
    <w:p w14:paraId="46F883D4">
      <w:pPr>
        <w:widowControl w:val="0"/>
        <w:kinsoku/>
        <w:autoSpaceDE/>
        <w:autoSpaceDN/>
        <w:adjustRightInd/>
        <w:snapToGrid/>
        <w:spacing w:line="500" w:lineRule="exact"/>
        <w:ind w:firstLine="560" w:firstLineChars="200"/>
        <w:jc w:val="left"/>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本项目环境影响评价第一次信息发布于202</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5</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年</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9</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月</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16</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日在苏州市相城区人民政府网站（</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http://www.szxc.gov.cn/szxcrmzf/tzgg/202509/a74cc8309fc14a139ebb6a8db250c9f0.shtml</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）公开发布，对</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江苏省相城高新技术产业开发区</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开发建设规划的基本概况和环评的主要工作内容作了介绍。</w:t>
      </w:r>
    </w:p>
    <w:p w14:paraId="7A64E4D8">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本项目环境影响评价第二次信息将通过苏州市相城区人民政府网站公开发布，对</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江苏省相城高新技术产业开发区</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开发建设规划的基本情况和环评的主要工作内容作进一步介绍，并同时链接公布本报告书征求意见稿。</w:t>
      </w:r>
    </w:p>
    <w:p w14:paraId="35A83890">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第二次网上公示期间，同步以张贴公告和报纸公示的方式收集评价范围内的公众代表对本规划环境保护方面的意见和建议。</w:t>
      </w:r>
    </w:p>
    <w:p w14:paraId="1DE0EC02">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（2）征求公众意见的范围、次数、形式</w:t>
      </w:r>
    </w:p>
    <w:p w14:paraId="2B485221">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公众参与的对象包括</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区涉及的环境敏感目标，公众可在网上公示期间向实施单位、评价机构发送电子邮件、传真和信函等方式发表意见。</w:t>
      </w:r>
    </w:p>
    <w:p w14:paraId="0CCC61D6">
      <w:pP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pPr>
      <w: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br w:type="page"/>
      </w:r>
    </w:p>
    <w:p w14:paraId="3FE32D33">
      <w:pPr>
        <w:pStyle w:val="3"/>
        <w:widowControl w:val="0"/>
        <w:numPr>
          <w:ilvl w:val="0"/>
          <w:numId w:val="2"/>
        </w:numPr>
        <w:kinsoku/>
        <w:autoSpaceDE/>
        <w:autoSpaceDN/>
        <w:adjustRightInd/>
        <w:snapToGrid/>
        <w:spacing w:before="156" w:after="156" w:line="500" w:lineRule="exact"/>
        <w:ind w:left="425" w:leftChars="0" w:hanging="425" w:firstLineChars="0"/>
        <w:jc w:val="both"/>
        <w:textAlignment w:val="auto"/>
        <w:rPr>
          <w:rFonts w:ascii="Times New Roman" w:hAnsi="Times New Roman" w:eastAsia="仿宋_GB2312" w:cs="Times New Roman"/>
          <w:snapToGrid/>
          <w:color w:val="000000" w:themeColor="text1"/>
          <w:szCs w:val="22"/>
          <w:highlight w:val="none"/>
          <w:lang w:eastAsia="zh-CN"/>
          <w14:textFill>
            <w14:solidFill>
              <w14:schemeClr w14:val="tx1"/>
            </w14:solidFill>
          </w14:textFill>
        </w:rPr>
      </w:pPr>
      <w:bookmarkStart w:id="35" w:name="_Toc12121"/>
      <w: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t>环境影响评价总结论</w:t>
      </w:r>
      <w:bookmarkEnd w:id="35"/>
    </w:p>
    <w:p w14:paraId="175066D3">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江苏省相城高新技术产业开发区</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本轮开发建设规划与上位区域发展规划、产业政策、生态环保相关规划、政策及方案基本相符，规划配套基础设施完善，能够满足</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高新</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区发展需求，规划实施对区域环境产生的影响有限，从环境保护的角度分析，在严格落实本报告提出的污染防治措施、风险防范措施、规划优化调整建议等前提下，影响在可接受的范围内，不会降低区域环境功能，</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江苏省相城高新技术产业开发区</w:t>
      </w: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依据本轮规划发展具备环境可行性。</w:t>
      </w:r>
    </w:p>
    <w:p w14:paraId="77FCA79C">
      <w:pPr>
        <w:spacing w:line="329" w:lineRule="auto"/>
        <w:rPr>
          <w:rFonts w:ascii="FangSong_GB2312" w:hAnsi="FangSong_GB2312" w:eastAsia="FangSong_GB2312" w:cs="FangSong_GB2312"/>
          <w:sz w:val="28"/>
          <w:szCs w:val="28"/>
        </w:rPr>
        <w:sectPr>
          <w:footerReference r:id="rId6" w:type="default"/>
          <w:pgSz w:w="11906" w:h="16839"/>
          <w:pgMar w:top="1431" w:right="1785" w:bottom="1166" w:left="1785" w:header="0" w:footer="1003" w:gutter="0"/>
          <w:pgNumType w:fmt="decimal"/>
          <w:cols w:space="720" w:num="1"/>
        </w:sectPr>
      </w:pPr>
    </w:p>
    <w:p w14:paraId="3966D5BF">
      <w:pPr>
        <w:pStyle w:val="3"/>
        <w:widowControl w:val="0"/>
        <w:numPr>
          <w:ilvl w:val="0"/>
          <w:numId w:val="2"/>
        </w:numPr>
        <w:kinsoku/>
        <w:autoSpaceDE/>
        <w:autoSpaceDN/>
        <w:adjustRightInd/>
        <w:snapToGrid/>
        <w:spacing w:before="156" w:after="156" w:line="500" w:lineRule="exact"/>
        <w:ind w:left="425" w:leftChars="0" w:hanging="425" w:firstLineChars="0"/>
        <w:jc w:val="both"/>
        <w:textAlignment w:val="auto"/>
        <w:rPr>
          <w:rFonts w:ascii="Times New Roman" w:hAnsi="Times New Roman" w:eastAsia="仿宋_GB2312" w:cs="Times New Roman"/>
          <w:snapToGrid/>
          <w:color w:val="000000" w:themeColor="text1"/>
          <w:szCs w:val="22"/>
          <w:highlight w:val="none"/>
          <w:lang w:eastAsia="zh-CN"/>
          <w14:textFill>
            <w14:solidFill>
              <w14:schemeClr w14:val="tx1"/>
            </w14:solidFill>
          </w14:textFill>
        </w:rPr>
      </w:pPr>
      <w:bookmarkStart w:id="36" w:name="_Toc14306"/>
      <w:r>
        <w:rPr>
          <w:rFonts w:ascii="Times New Roman" w:hAnsi="Times New Roman" w:eastAsia="仿宋_GB2312" w:cs="Times New Roman"/>
          <w:snapToGrid/>
          <w:color w:val="000000" w:themeColor="text1"/>
          <w:szCs w:val="22"/>
          <w:highlight w:val="none"/>
          <w:lang w:eastAsia="zh-CN"/>
          <w14:textFill>
            <w14:solidFill>
              <w14:schemeClr w14:val="tx1"/>
            </w14:solidFill>
          </w14:textFill>
        </w:rPr>
        <w:t>联系方式</w:t>
      </w:r>
      <w:bookmarkEnd w:id="36"/>
    </w:p>
    <w:p w14:paraId="72FB4558">
      <w:pPr>
        <w:spacing w:before="284" w:line="214" w:lineRule="auto"/>
        <w:ind w:left="573"/>
        <w:rPr>
          <w:rFonts w:ascii="FangSong_GB2312" w:hAnsi="FangSong_GB2312" w:eastAsia="FangSong_GB2312" w:cs="FangSong_GB2312"/>
          <w:sz w:val="28"/>
          <w:szCs w:val="28"/>
        </w:rPr>
      </w:pPr>
      <w:r>
        <w:rPr>
          <w:rFonts w:ascii="FangSong_GB2312" w:hAnsi="FangSong_GB2312" w:eastAsia="FangSong_GB2312" w:cs="FangSong_GB2312"/>
          <w:b/>
          <w:bCs/>
          <w:spacing w:val="-2"/>
          <w:sz w:val="28"/>
          <w:szCs w:val="28"/>
        </w:rPr>
        <w:t>（</w:t>
      </w:r>
      <w:r>
        <w:rPr>
          <w:rFonts w:ascii="Times New Roman" w:hAnsi="Times New Roman" w:eastAsia="Times New Roman" w:cs="Times New Roman"/>
          <w:b/>
          <w:bCs/>
          <w:spacing w:val="-2"/>
          <w:sz w:val="28"/>
          <w:szCs w:val="28"/>
        </w:rPr>
        <w:t>1</w:t>
      </w:r>
      <w:r>
        <w:rPr>
          <w:rFonts w:ascii="FangSong_GB2312" w:hAnsi="FangSong_GB2312" w:eastAsia="FangSong_GB2312" w:cs="FangSong_GB2312"/>
          <w:b/>
          <w:bCs/>
          <w:spacing w:val="-2"/>
          <w:sz w:val="28"/>
          <w:szCs w:val="28"/>
        </w:rPr>
        <w:t>）规划实施单位名称及联系方式</w:t>
      </w:r>
    </w:p>
    <w:p w14:paraId="20AD1250">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t>规划实施单位：</w:t>
      </w: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江苏省相城高新技术产业开发区管理委员会</w:t>
      </w:r>
    </w:p>
    <w:p w14:paraId="3E6FA571">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联系地址：黄埭镇综合行政执法和安全生产监督管理办公室</w:t>
      </w:r>
    </w:p>
    <w:p w14:paraId="3404BA92">
      <w:pPr>
        <w:widowControl w:val="0"/>
        <w:kinsoku/>
        <w:autoSpaceDE/>
        <w:autoSpaceDN/>
        <w:adjustRightInd/>
        <w:snapToGrid/>
        <w:spacing w:line="500" w:lineRule="exact"/>
        <w:ind w:firstLine="560" w:firstLineChars="200"/>
        <w:jc w:val="both"/>
        <w:textAlignment w:val="auto"/>
        <w:rPr>
          <w:rFonts w:hint="default"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联系人：赵科</w:t>
      </w:r>
    </w:p>
    <w:p w14:paraId="3B2CBE9C">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联系电话：0512-65480218</w:t>
      </w:r>
    </w:p>
    <w:p w14:paraId="25393778">
      <w:pPr>
        <w:widowControl w:val="0"/>
        <w:kinsoku/>
        <w:autoSpaceDE/>
        <w:autoSpaceDN/>
        <w:adjustRightInd/>
        <w:snapToGrid/>
        <w:spacing w:line="500" w:lineRule="exact"/>
        <w:ind w:firstLine="560" w:firstLineChars="200"/>
        <w:jc w:val="both"/>
        <w:textAlignment w:val="auto"/>
        <w:rPr>
          <w:rFonts w:hint="eastAsia" w:ascii="Times New Roman" w:hAnsi="Times New Roman" w:eastAsia="仿宋_GB2312" w:cs="Times New Roman"/>
          <w:snapToGrid/>
          <w:color w:val="000000" w:themeColor="text1"/>
          <w:kern w:val="2"/>
          <w:sz w:val="28"/>
          <w:szCs w:val="22"/>
          <w:highlight w:val="none"/>
          <w:lang w:eastAsia="zh-CN"/>
          <w14:textFill>
            <w14:solidFill>
              <w14:schemeClr w14:val="tx1"/>
            </w14:solidFill>
          </w14:textFill>
        </w:rPr>
      </w:pPr>
      <w:r>
        <w:rPr>
          <w:rFonts w:hint="eastAsia" w:ascii="Times New Roman" w:hAnsi="Times New Roman" w:eastAsia="仿宋_GB2312" w:cs="Times New Roman"/>
          <w:snapToGrid/>
          <w:color w:val="000000" w:themeColor="text1"/>
          <w:kern w:val="2"/>
          <w:sz w:val="28"/>
          <w:szCs w:val="22"/>
          <w:highlight w:val="none"/>
          <w:lang w:val="en-US" w:eastAsia="zh-CN"/>
          <w14:textFill>
            <w14:solidFill>
              <w14:schemeClr w14:val="tx1"/>
            </w14:solidFill>
          </w14:textFill>
        </w:rPr>
        <w:t>电子邮箱：814276970@qq.com</w:t>
      </w:r>
    </w:p>
    <w:p w14:paraId="38FBC121">
      <w:pPr>
        <w:spacing w:before="161" w:line="213" w:lineRule="auto"/>
        <w:ind w:left="573"/>
        <w:rPr>
          <w:rFonts w:ascii="FangSong_GB2312" w:hAnsi="FangSong_GB2312" w:eastAsia="FangSong_GB2312" w:cs="FangSong_GB2312"/>
          <w:sz w:val="28"/>
          <w:szCs w:val="28"/>
        </w:rPr>
      </w:pPr>
      <w:r>
        <w:rPr>
          <w:rFonts w:ascii="FangSong_GB2312" w:hAnsi="FangSong_GB2312" w:eastAsia="FangSong_GB2312" w:cs="FangSong_GB2312"/>
          <w:b/>
          <w:bCs/>
          <w:spacing w:val="-2"/>
          <w:sz w:val="28"/>
          <w:szCs w:val="28"/>
        </w:rPr>
        <w:t>（</w:t>
      </w:r>
      <w:r>
        <w:rPr>
          <w:rFonts w:ascii="Times New Roman" w:hAnsi="Times New Roman" w:eastAsia="Times New Roman" w:cs="Times New Roman"/>
          <w:b/>
          <w:bCs/>
          <w:spacing w:val="-2"/>
          <w:sz w:val="28"/>
          <w:szCs w:val="28"/>
        </w:rPr>
        <w:t>2</w:t>
      </w:r>
      <w:r>
        <w:rPr>
          <w:rFonts w:ascii="FangSong_GB2312" w:hAnsi="FangSong_GB2312" w:eastAsia="FangSong_GB2312" w:cs="FangSong_GB2312"/>
          <w:b/>
          <w:bCs/>
          <w:spacing w:val="-2"/>
          <w:sz w:val="28"/>
          <w:szCs w:val="28"/>
        </w:rPr>
        <w:t>）承担环境影响评价工作单位名称及联系方式</w:t>
      </w:r>
    </w:p>
    <w:p w14:paraId="6D5420EB">
      <w:pPr>
        <w:spacing w:before="176" w:line="213" w:lineRule="auto"/>
        <w:ind w:left="592"/>
        <w:rPr>
          <w:rFonts w:ascii="FangSong_GB2312" w:hAnsi="FangSong_GB2312" w:eastAsia="FangSong_GB2312" w:cs="FangSong_GB2312"/>
          <w:sz w:val="28"/>
          <w:szCs w:val="28"/>
        </w:rPr>
      </w:pPr>
      <w:r>
        <w:rPr>
          <w:rFonts w:ascii="FangSong_GB2312" w:hAnsi="FangSong_GB2312" w:eastAsia="FangSong_GB2312" w:cs="FangSong_GB2312"/>
          <w:spacing w:val="-1"/>
          <w:sz w:val="28"/>
          <w:szCs w:val="28"/>
        </w:rPr>
        <w:t>规划环评单位：</w:t>
      </w:r>
      <w:r>
        <w:rPr>
          <w:rFonts w:hint="eastAsia" w:ascii="FangSong_GB2312" w:hAnsi="FangSong_GB2312" w:eastAsia="FangSong_GB2312" w:cs="FangSong_GB2312"/>
          <w:spacing w:val="-1"/>
          <w:sz w:val="28"/>
          <w:szCs w:val="28"/>
          <w:lang w:eastAsia="zh-CN"/>
        </w:rPr>
        <w:t>苏州相润环境科技有限公司</w:t>
      </w:r>
    </w:p>
    <w:p w14:paraId="68FEA130">
      <w:pPr>
        <w:spacing w:before="175" w:line="214" w:lineRule="auto"/>
        <w:ind w:left="584"/>
        <w:rPr>
          <w:rFonts w:ascii="FangSong_GB2312" w:hAnsi="FangSong_GB2312" w:eastAsia="FangSong_GB2312" w:cs="FangSong_GB2312"/>
          <w:sz w:val="28"/>
          <w:szCs w:val="28"/>
        </w:rPr>
      </w:pPr>
      <w:r>
        <w:rPr>
          <w:rFonts w:ascii="FangSong_GB2312" w:hAnsi="FangSong_GB2312" w:eastAsia="FangSong_GB2312" w:cs="FangSong_GB2312"/>
          <w:spacing w:val="-2"/>
          <w:sz w:val="28"/>
          <w:szCs w:val="28"/>
        </w:rPr>
        <w:t>联系人：</w:t>
      </w:r>
      <w:r>
        <w:rPr>
          <w:rFonts w:hint="eastAsia" w:ascii="FangSong_GB2312" w:hAnsi="FangSong_GB2312" w:eastAsia="FangSong_GB2312" w:cs="FangSong_GB2312"/>
          <w:spacing w:val="-2"/>
          <w:sz w:val="28"/>
          <w:szCs w:val="28"/>
          <w:lang w:val="en-US" w:eastAsia="zh-CN"/>
        </w:rPr>
        <w:t>吴</w:t>
      </w:r>
      <w:r>
        <w:rPr>
          <w:rFonts w:ascii="FangSong_GB2312" w:hAnsi="FangSong_GB2312" w:eastAsia="FangSong_GB2312" w:cs="FangSong_GB2312"/>
          <w:spacing w:val="-2"/>
          <w:sz w:val="28"/>
          <w:szCs w:val="28"/>
        </w:rPr>
        <w:t>工</w:t>
      </w:r>
    </w:p>
    <w:p w14:paraId="14AA5B36">
      <w:pPr>
        <w:spacing w:before="175" w:line="214" w:lineRule="auto"/>
        <w:ind w:left="584"/>
        <w:rPr>
          <w:rFonts w:hint="default" w:ascii="Times New Roman" w:hAnsi="Times New Roman" w:eastAsia="宋体" w:cs="Times New Roman"/>
          <w:sz w:val="28"/>
          <w:szCs w:val="28"/>
          <w:lang w:val="en-US" w:eastAsia="zh-CN"/>
        </w:rPr>
      </w:pPr>
      <w:r>
        <w:rPr>
          <w:rFonts w:ascii="FangSong_GB2312" w:hAnsi="FangSong_GB2312" w:eastAsia="FangSong_GB2312" w:cs="FangSong_GB2312"/>
          <w:spacing w:val="-1"/>
          <w:sz w:val="28"/>
          <w:szCs w:val="28"/>
        </w:rPr>
        <w:t>联系电话：</w:t>
      </w:r>
      <w:r>
        <w:rPr>
          <w:rFonts w:ascii="Times New Roman" w:hAnsi="Times New Roman" w:eastAsia="Times New Roman" w:cs="Times New Roman"/>
          <w:spacing w:val="-1"/>
          <w:sz w:val="28"/>
          <w:szCs w:val="28"/>
        </w:rPr>
        <w:t>1</w:t>
      </w:r>
      <w:r>
        <w:rPr>
          <w:rFonts w:hint="eastAsia" w:ascii="Times New Roman" w:hAnsi="Times New Roman" w:eastAsia="宋体" w:cs="Times New Roman"/>
          <w:spacing w:val="-1"/>
          <w:sz w:val="28"/>
          <w:szCs w:val="28"/>
          <w:lang w:val="en-US" w:eastAsia="zh-CN"/>
        </w:rPr>
        <w:t>8261765055</w:t>
      </w:r>
    </w:p>
    <w:p w14:paraId="1E250983">
      <w:pPr>
        <w:spacing w:before="177" w:line="210" w:lineRule="auto"/>
        <w:ind w:left="617"/>
        <w:rPr>
          <w:rFonts w:hint="default" w:ascii="Times New Roman" w:hAnsi="Times New Roman" w:eastAsia="宋体" w:cs="Times New Roman"/>
          <w:sz w:val="28"/>
          <w:szCs w:val="28"/>
          <w:lang w:val="en-US" w:eastAsia="zh-CN"/>
        </w:rPr>
      </w:pPr>
      <w:r>
        <w:rPr>
          <w:rFonts w:ascii="FangSong_GB2312" w:hAnsi="FangSong_GB2312" w:eastAsia="FangSong_GB2312" w:cs="FangSong_GB2312"/>
          <w:spacing w:val="-3"/>
          <w:sz w:val="28"/>
          <w:szCs w:val="28"/>
        </w:rPr>
        <w:t>电子邮箱：</w:t>
      </w:r>
      <w:r>
        <w:rPr>
          <w:rFonts w:hint="eastAsia" w:ascii="Times New Roman" w:hAnsi="Times New Roman" w:eastAsia="宋体" w:cs="Times New Roman"/>
          <w:spacing w:val="-3"/>
          <w:sz w:val="28"/>
          <w:szCs w:val="28"/>
          <w:lang w:val="en-US" w:eastAsia="zh-CN"/>
        </w:rPr>
        <w:t>670086619</w:t>
      </w:r>
      <w:r>
        <w:rPr>
          <w:rFonts w:ascii="Times New Roman" w:hAnsi="Times New Roman" w:eastAsia="Times New Roman" w:cs="Times New Roman"/>
          <w:spacing w:val="-3"/>
          <w:sz w:val="28"/>
          <w:szCs w:val="28"/>
        </w:rPr>
        <w:t>@</w:t>
      </w:r>
      <w:r>
        <w:rPr>
          <w:rFonts w:hint="eastAsia" w:ascii="Times New Roman" w:hAnsi="Times New Roman" w:eastAsia="宋体" w:cs="Times New Roman"/>
          <w:spacing w:val="-3"/>
          <w:sz w:val="28"/>
          <w:szCs w:val="28"/>
          <w:lang w:val="en-US" w:eastAsia="zh-CN"/>
        </w:rPr>
        <w:t>qq</w:t>
      </w:r>
      <w:r>
        <w:rPr>
          <w:rFonts w:ascii="Times New Roman" w:hAnsi="Times New Roman" w:eastAsia="Times New Roman" w:cs="Times New Roman"/>
          <w:spacing w:val="-3"/>
          <w:sz w:val="28"/>
          <w:szCs w:val="28"/>
        </w:rPr>
        <w:t>.c</w:t>
      </w:r>
      <w:r>
        <w:rPr>
          <w:rFonts w:hint="eastAsia" w:ascii="Times New Roman" w:hAnsi="Times New Roman" w:eastAsia="宋体" w:cs="Times New Roman"/>
          <w:spacing w:val="-3"/>
          <w:sz w:val="28"/>
          <w:szCs w:val="28"/>
          <w:lang w:val="en-US" w:eastAsia="zh-CN"/>
        </w:rPr>
        <w:t>om</w:t>
      </w:r>
    </w:p>
    <w:sectPr>
      <w:footerReference r:id="rId7" w:type="default"/>
      <w:pgSz w:w="11906" w:h="16839"/>
      <w:pgMar w:top="1431" w:right="1785" w:bottom="1166" w:left="1785" w:header="0" w:footer="1003"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华文新魏">
    <w:panose1 w:val="02010800040101010101"/>
    <w:charset w:val="86"/>
    <w:family w:val="auto"/>
    <w:pitch w:val="default"/>
    <w:sig w:usb0="00000001" w:usb1="080F0000" w:usb2="00000000" w:usb3="00000000" w:csb0="00040000" w:csb1="00000000"/>
  </w:font>
  <w:font w:name="FangSong_GB2312">
    <w:altName w:val="仿宋_GB2312"/>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772255">
    <w:pPr>
      <w:spacing w:line="176" w:lineRule="auto"/>
      <w:ind w:left="4098"/>
      <w:rPr>
        <w:rFonts w:hint="eastAsia" w:ascii="Times New Roman" w:hAnsi="Times New Roman" w:eastAsia="宋体" w:cs="Times New Roman"/>
        <w:sz w:val="18"/>
        <w:szCs w:val="18"/>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2E365F">
                          <w:pPr>
                            <w:pStyle w:val="10"/>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72E365F">
                    <w:pPr>
                      <w:pStyle w:val="10"/>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3</w:t>
                    </w:r>
                    <w:r>
                      <w:rPr>
                        <w:rFonts w:hint="default" w:ascii="Times New Roman" w:hAnsi="Times New Roman" w:cs="Times New Roma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AB195">
    <w:pPr>
      <w:spacing w:line="176" w:lineRule="auto"/>
      <w:ind w:left="4081"/>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762828">
                          <w:pPr>
                            <w:pStyle w:val="10"/>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5762828">
                    <w:pPr>
                      <w:pStyle w:val="10"/>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385F66">
    <w:pPr>
      <w:spacing w:line="176" w:lineRule="auto"/>
      <w:ind w:left="4081"/>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C42CAA">
                          <w:pPr>
                            <w:pStyle w:val="10"/>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26C42CAA">
                    <w:pPr>
                      <w:pStyle w:val="10"/>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3ADA42"/>
    <w:multiLevelType w:val="singleLevel"/>
    <w:tmpl w:val="A73ADA42"/>
    <w:lvl w:ilvl="0" w:tentative="0">
      <w:start w:val="6"/>
      <w:numFmt w:val="decimal"/>
      <w:suff w:val="nothing"/>
      <w:lvlText w:val="（%1）"/>
      <w:lvlJc w:val="left"/>
    </w:lvl>
  </w:abstractNum>
  <w:abstractNum w:abstractNumId="1">
    <w:nsid w:val="E1E65C74"/>
    <w:multiLevelType w:val="multilevel"/>
    <w:tmpl w:val="E1E65C74"/>
    <w:lvl w:ilvl="0" w:tentative="0">
      <w:start w:val="1"/>
      <w:numFmt w:val="decimal"/>
      <w:pStyle w:val="3"/>
      <w:lvlText w:val="%1."/>
      <w:lvlJc w:val="left"/>
      <w:pPr>
        <w:ind w:left="432" w:hanging="432"/>
      </w:pPr>
      <w:rPr>
        <w:rFonts w:hint="default"/>
      </w:rPr>
    </w:lvl>
    <w:lvl w:ilvl="1" w:tentative="0">
      <w:start w:val="1"/>
      <w:numFmt w:val="decimal"/>
      <w:pStyle w:val="4"/>
      <w:lvlText w:val="%1.%2."/>
      <w:lvlJc w:val="left"/>
      <w:pPr>
        <w:ind w:left="575" w:hanging="575"/>
      </w:pPr>
      <w:rPr>
        <w:rFonts w:hint="default"/>
      </w:rPr>
    </w:lvl>
    <w:lvl w:ilvl="2" w:tentative="0">
      <w:start w:val="1"/>
      <w:numFmt w:val="decimal"/>
      <w:pStyle w:val="2"/>
      <w:lvlText w:val="%1.%2.%3."/>
      <w:lvlJc w:val="left"/>
      <w:pPr>
        <w:ind w:left="720" w:hanging="720"/>
      </w:pPr>
      <w:rPr>
        <w:rFonts w:hint="default"/>
      </w:rPr>
    </w:lvl>
    <w:lvl w:ilvl="3" w:tentative="0">
      <w:start w:val="1"/>
      <w:numFmt w:val="decimal"/>
      <w:pStyle w:val="5"/>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2">
    <w:nsid w:val="E2CC2643"/>
    <w:multiLevelType w:val="multilevel"/>
    <w:tmpl w:val="E2CC2643"/>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0" w:leftChars="0" w:firstLine="0" w:firstLineChars="0"/>
      </w:pPr>
      <w:rPr>
        <w:rFonts w:hint="default"/>
      </w:rPr>
    </w:lvl>
    <w:lvl w:ilvl="3" w:tentative="0">
      <w:start w:val="1"/>
      <w:numFmt w:val="decimal"/>
      <w:suff w:val="nothing"/>
      <w:lvlText w:val="%1.%2.%3.%4."/>
      <w:lvlJc w:val="left"/>
      <w:pPr>
        <w:ind w:left="0" w:leftChars="0" w:firstLine="0" w:firstLineChars="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
    <w:nsid w:val="1BD58A45"/>
    <w:multiLevelType w:val="singleLevel"/>
    <w:tmpl w:val="1BD58A45"/>
    <w:lvl w:ilvl="0" w:tentative="0">
      <w:start w:val="1"/>
      <w:numFmt w:val="decimal"/>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9"/>
  <w:doNotDisplayPageBoundaries w:val="1"/>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0394AB8"/>
    <w:rsid w:val="03B02ADB"/>
    <w:rsid w:val="03BE1EDB"/>
    <w:rsid w:val="057A4953"/>
    <w:rsid w:val="0F432809"/>
    <w:rsid w:val="115E01DA"/>
    <w:rsid w:val="18AD3F21"/>
    <w:rsid w:val="245F2938"/>
    <w:rsid w:val="3509652C"/>
    <w:rsid w:val="39F57E9E"/>
    <w:rsid w:val="40D44CF3"/>
    <w:rsid w:val="555F4A7F"/>
    <w:rsid w:val="57564B8E"/>
    <w:rsid w:val="5DF64FF0"/>
    <w:rsid w:val="691E5848"/>
    <w:rsid w:val="729F57FE"/>
    <w:rsid w:val="77B771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qFormat/>
    <w:uiPriority w:val="0"/>
    <w:pPr>
      <w:keepNext/>
      <w:keepLines/>
      <w:numPr>
        <w:ilvl w:val="0"/>
        <w:numId w:val="1"/>
      </w:numPr>
      <w:spacing w:before="50" w:beforeLines="50" w:after="50" w:afterLines="50"/>
      <w:ind w:firstLine="0" w:firstLineChars="0"/>
      <w:outlineLvl w:val="0"/>
    </w:pPr>
    <w:rPr>
      <w:b/>
      <w:kern w:val="44"/>
      <w:sz w:val="36"/>
    </w:rPr>
  </w:style>
  <w:style w:type="paragraph" w:styleId="4">
    <w:name w:val="heading 2"/>
    <w:basedOn w:val="1"/>
    <w:next w:val="1"/>
    <w:qFormat/>
    <w:uiPriority w:val="0"/>
    <w:pPr>
      <w:keepNext/>
      <w:numPr>
        <w:ilvl w:val="1"/>
        <w:numId w:val="1"/>
      </w:numPr>
      <w:spacing w:before="50" w:beforeLines="50" w:after="50" w:afterLines="50"/>
      <w:ind w:firstLine="0" w:firstLineChars="0"/>
      <w:outlineLvl w:val="1"/>
    </w:pPr>
    <w:rPr>
      <w:b/>
      <w:sz w:val="32"/>
    </w:rPr>
  </w:style>
  <w:style w:type="paragraph" w:styleId="2">
    <w:name w:val="heading 3"/>
    <w:basedOn w:val="1"/>
    <w:next w:val="1"/>
    <w:qFormat/>
    <w:uiPriority w:val="0"/>
    <w:pPr>
      <w:keepNext/>
      <w:keepLines/>
      <w:widowControl w:val="0"/>
      <w:numPr>
        <w:ilvl w:val="2"/>
        <w:numId w:val="1"/>
      </w:numPr>
      <w:spacing w:line="500" w:lineRule="exact"/>
      <w:ind w:left="0" w:firstLine="0" w:firstLineChars="0"/>
      <w:jc w:val="both"/>
      <w:outlineLvl w:val="2"/>
    </w:pPr>
    <w:rPr>
      <w:rFonts w:ascii="Times New Roman" w:hAnsi="Times New Roman" w:eastAsia="仿宋_GB2312" w:cs="Times New Roman"/>
      <w:b/>
      <w:kern w:val="2"/>
      <w:sz w:val="28"/>
      <w:szCs w:val="22"/>
      <w:lang w:val="en-US" w:eastAsia="zh-CN" w:bidi="ar-SA"/>
    </w:rPr>
  </w:style>
  <w:style w:type="paragraph" w:styleId="5">
    <w:name w:val="heading 4"/>
    <w:next w:val="1"/>
    <w:qFormat/>
    <w:uiPriority w:val="0"/>
    <w:pPr>
      <w:keepNext/>
      <w:keepLines/>
      <w:widowControl w:val="0"/>
      <w:numPr>
        <w:ilvl w:val="3"/>
        <w:numId w:val="1"/>
      </w:numPr>
      <w:adjustRightInd w:val="0"/>
      <w:spacing w:line="500" w:lineRule="exact"/>
      <w:ind w:left="0" w:firstLine="0" w:firstLineChars="0"/>
      <w:jc w:val="both"/>
      <w:outlineLvl w:val="3"/>
    </w:pPr>
    <w:rPr>
      <w:rFonts w:ascii="Times New Roman" w:hAnsi="Times New Roman" w:eastAsia="仿宋_GB2312" w:cs="Times New Roman"/>
      <w:b/>
      <w:kern w:val="2"/>
      <w:sz w:val="28"/>
      <w:szCs w:val="22"/>
      <w:lang w:val="en-US" w:eastAsia="zh-CN" w:bidi="ar-SA"/>
    </w:rPr>
  </w:style>
  <w:style w:type="character" w:default="1" w:styleId="16">
    <w:name w:val="Default Paragraph Font"/>
    <w:semiHidden/>
    <w:qFormat/>
    <w:uiPriority w:val="0"/>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caption"/>
    <w:next w:val="1"/>
    <w:qFormat/>
    <w:uiPriority w:val="0"/>
    <w:pPr>
      <w:widowControl w:val="0"/>
      <w:spacing w:line="500" w:lineRule="exact"/>
      <w:ind w:firstLine="420" w:firstLineChars="200"/>
      <w:jc w:val="left"/>
    </w:pPr>
    <w:rPr>
      <w:rFonts w:ascii="Times New Roman" w:hAnsi="Times New Roman" w:eastAsia="仿宋_GB2312" w:cstheme="majorBidi"/>
      <w:kern w:val="2"/>
      <w:sz w:val="28"/>
      <w:szCs w:val="24"/>
      <w:lang w:val="en-US" w:eastAsia="zh-CN" w:bidi="ar-SA"/>
    </w:rPr>
  </w:style>
  <w:style w:type="paragraph" w:styleId="7">
    <w:name w:val="Body Text"/>
    <w:basedOn w:val="1"/>
    <w:next w:val="8"/>
    <w:semiHidden/>
    <w:qFormat/>
    <w:uiPriority w:val="0"/>
    <w:rPr>
      <w:rFonts w:ascii="Arial" w:hAnsi="Arial" w:eastAsia="Arial" w:cs="Arial"/>
      <w:sz w:val="21"/>
      <w:szCs w:val="21"/>
      <w:lang w:val="en-US" w:eastAsia="en-US" w:bidi="ar-SA"/>
    </w:rPr>
  </w:style>
  <w:style w:type="paragraph" w:styleId="8">
    <w:name w:val="Subtitle"/>
    <w:next w:val="1"/>
    <w:qFormat/>
    <w:uiPriority w:val="11"/>
    <w:pPr>
      <w:widowControl/>
      <w:spacing w:after="160" w:line="259" w:lineRule="auto"/>
      <w:ind w:firstLine="420" w:firstLineChars="200"/>
      <w:jc w:val="left"/>
    </w:pPr>
    <w:rPr>
      <w:rFonts w:ascii="等线" w:hAnsi="等线" w:eastAsia="等线" w:cs="Times New Roman"/>
      <w:color w:val="5A5A5A"/>
      <w:spacing w:val="15"/>
      <w:kern w:val="0"/>
      <w:sz w:val="22"/>
      <w:szCs w:val="22"/>
      <w:lang w:val="en-US" w:eastAsia="zh-CN" w:bidi="ar-SA"/>
    </w:rPr>
  </w:style>
  <w:style w:type="paragraph" w:styleId="9">
    <w:name w:val="toc 3"/>
    <w:basedOn w:val="1"/>
    <w:next w:val="1"/>
    <w:qFormat/>
    <w:uiPriority w:val="0"/>
    <w:pPr>
      <w:ind w:left="840" w:leftChars="400"/>
    </w:p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0"/>
  </w:style>
  <w:style w:type="paragraph" w:styleId="13">
    <w:name w:val="toc 2"/>
    <w:basedOn w:val="1"/>
    <w:next w:val="1"/>
    <w:qFormat/>
    <w:uiPriority w:val="0"/>
    <w:pPr>
      <w:ind w:left="420" w:leftChars="200"/>
    </w:pPr>
  </w:style>
  <w:style w:type="table" w:styleId="15">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表头"/>
    <w:next w:val="19"/>
    <w:autoRedefine/>
    <w:qFormat/>
    <w:uiPriority w:val="0"/>
    <w:pPr>
      <w:widowControl w:val="0"/>
      <w:tabs>
        <w:tab w:val="left" w:pos="2561"/>
        <w:tab w:val="center" w:pos="4589"/>
      </w:tabs>
      <w:adjustRightInd w:val="0"/>
      <w:snapToGrid w:val="0"/>
      <w:spacing w:line="500" w:lineRule="exact"/>
      <w:ind w:firstLine="0" w:firstLineChars="0"/>
      <w:jc w:val="center"/>
    </w:pPr>
    <w:rPr>
      <w:rFonts w:ascii="Times New Roman" w:hAnsi="Times New Roman" w:eastAsia="仿宋_GB2312" w:cs="Times New Roman"/>
      <w:b/>
      <w:kern w:val="2"/>
      <w:sz w:val="24"/>
      <w:szCs w:val="24"/>
      <w:lang w:val="en-US" w:eastAsia="zh-CN" w:bidi="ar-SA"/>
    </w:rPr>
  </w:style>
  <w:style w:type="paragraph" w:customStyle="1" w:styleId="19">
    <w:name w:val="表内字体"/>
    <w:autoRedefine/>
    <w:qFormat/>
    <w:uiPriority w:val="0"/>
    <w:pPr>
      <w:widowControl w:val="0"/>
      <w:adjustRightInd w:val="0"/>
      <w:snapToGrid w:val="0"/>
      <w:spacing w:line="240" w:lineRule="auto"/>
      <w:ind w:firstLine="0" w:firstLineChars="0"/>
      <w:jc w:val="center"/>
    </w:pPr>
    <w:rPr>
      <w:rFonts w:ascii="Times New Roman" w:hAnsi="Times New Roman" w:eastAsia="仿宋_GB2312" w:cs="Times New Roman"/>
      <w:bCs/>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27</Pages>
  <Words>14225</Words>
  <Characters>15196</Characters>
  <TotalTime>9</TotalTime>
  <ScaleCrop>false</ScaleCrop>
  <LinksUpToDate>false</LinksUpToDate>
  <CharactersWithSpaces>15291</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2022-10-09T14:24:00Z</dcterms:created>
  <dc:creator>JHL</dc:creator>
  <cp:lastModifiedBy>wujia</cp:lastModifiedBy>
  <dcterms:modified xsi:type="dcterms:W3CDTF">2025-10-11T03:09:20Z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2025-10-08T23:12:51Z</vt:filetime>
  </property>
  <property fmtid="{D5CDD505-2E9C-101B-9397-08002B2CF9AE}" pid="4" name="KSOTemplateDocerSaveRecord">
    <vt:lpwstr>eyJoZGlkIjoiNjcyODMzYTZkMDIzNTE3MmNhNjk0Y2EwMGMwOTYzMTIiLCJ1c2VySWQiOiIyNTI4ODU3MjQifQ==</vt:lpwstr>
  </property>
  <property fmtid="{D5CDD505-2E9C-101B-9397-08002B2CF9AE}" pid="5" name="KSOProductBuildVer">
    <vt:lpwstr>2052-12.1.0.22529</vt:lpwstr>
  </property>
  <property fmtid="{D5CDD505-2E9C-101B-9397-08002B2CF9AE}" pid="6" name="ICV">
    <vt:lpwstr>41593774293B45C2804BD16F61C30AE5_12</vt:lpwstr>
  </property>
</Properties>
</file>