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E15761">
      <w:pPr>
        <w:pStyle w:val="8"/>
        <w:widowControl/>
        <w:jc w:val="both"/>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w:t>
      </w:r>
    </w:p>
    <w:p w14:paraId="7CA69501">
      <w:pPr>
        <w:pStyle w:val="8"/>
        <w:widowControl/>
        <w:jc w:val="both"/>
        <w:rPr>
          <w:rFonts w:hint="eastAsia" w:ascii="黑体" w:hAnsi="黑体" w:eastAsia="黑体" w:cs="黑体"/>
          <w:color w:val="auto"/>
          <w:sz w:val="32"/>
          <w:szCs w:val="32"/>
          <w:highlight w:val="none"/>
          <w:lang w:val="en-US" w:eastAsia="zh-CN"/>
        </w:rPr>
      </w:pPr>
    </w:p>
    <w:p w14:paraId="1A1B6065">
      <w:pPr>
        <w:pStyle w:val="8"/>
        <w:widowControl/>
        <w:rPr>
          <w:rFonts w:hint="eastAsia"/>
          <w:color w:val="auto"/>
          <w:highlight w:val="none"/>
        </w:rPr>
      </w:pPr>
      <w:r>
        <w:rPr>
          <w:rFonts w:hint="eastAsia"/>
          <w:color w:val="auto"/>
          <w:highlight w:val="none"/>
        </w:rPr>
        <w:t>苏州市相城区农村集体经营性建设用地</w:t>
      </w:r>
    </w:p>
    <w:p w14:paraId="40E70B4E">
      <w:pPr>
        <w:pStyle w:val="8"/>
        <w:widowControl/>
        <w:rPr>
          <w:rFonts w:hint="eastAsia"/>
          <w:color w:val="auto"/>
          <w:highlight w:val="none"/>
        </w:rPr>
      </w:pPr>
      <w:r>
        <w:rPr>
          <w:rFonts w:hint="eastAsia"/>
          <w:color w:val="auto"/>
          <w:highlight w:val="none"/>
        </w:rPr>
        <w:t>入市及收益分配管理办法</w:t>
      </w:r>
    </w:p>
    <w:p w14:paraId="08DED092">
      <w:pPr>
        <w:pStyle w:val="8"/>
        <w:widowControl/>
        <w:rPr>
          <w:rFonts w:hint="eastAsia"/>
          <w:color w:val="auto"/>
          <w:highlight w:val="none"/>
          <w:lang w:eastAsia="zh-CN"/>
        </w:rPr>
      </w:pPr>
      <w:bookmarkStart w:id="0" w:name="_GoBack"/>
      <w:bookmarkEnd w:id="0"/>
      <w:r>
        <w:rPr>
          <w:rFonts w:hint="eastAsia"/>
          <w:color w:val="auto"/>
          <w:highlight w:val="none"/>
          <w:lang w:eastAsia="zh-CN"/>
        </w:rPr>
        <w:t>（</w:t>
      </w:r>
      <w:r>
        <w:rPr>
          <w:rFonts w:hint="eastAsia"/>
          <w:color w:val="auto"/>
          <w:highlight w:val="none"/>
          <w:lang w:val="en-US" w:eastAsia="zh-CN"/>
        </w:rPr>
        <w:t>征求意见稿</w:t>
      </w:r>
      <w:r>
        <w:rPr>
          <w:rFonts w:hint="eastAsia"/>
          <w:color w:val="auto"/>
          <w:highlight w:val="none"/>
          <w:lang w:eastAsia="zh-CN"/>
        </w:rPr>
        <w:t>）</w:t>
      </w:r>
    </w:p>
    <w:p w14:paraId="6C24C20A">
      <w:pPr>
        <w:pStyle w:val="8"/>
        <w:widowControl/>
        <w:rPr>
          <w:rFonts w:hint="eastAsia"/>
          <w:color w:val="auto"/>
          <w:sz w:val="32"/>
          <w:szCs w:val="32"/>
          <w:highlight w:val="none"/>
          <w:lang w:eastAsia="zh-CN"/>
        </w:rPr>
      </w:pPr>
    </w:p>
    <w:p w14:paraId="61EB84AD">
      <w:pPr>
        <w:pStyle w:val="12"/>
        <w:widowControl/>
        <w:numPr>
          <w:ilvl w:val="0"/>
          <w:numId w:val="0"/>
        </w:numPr>
        <w:ind w:leftChars="0"/>
        <w:rPr>
          <w:rFonts w:hint="eastAsia"/>
          <w:color w:val="auto"/>
          <w:highlight w:val="none"/>
          <w:lang w:eastAsia="zh-CN"/>
        </w:rPr>
      </w:pPr>
      <w:r>
        <w:rPr>
          <w:rFonts w:hint="eastAsia"/>
          <w:color w:val="auto"/>
          <w:highlight w:val="none"/>
          <w:lang w:eastAsia="zh-CN"/>
        </w:rPr>
        <w:t>第一章 总则</w:t>
      </w:r>
    </w:p>
    <w:p w14:paraId="23093B4A">
      <w:pPr>
        <w:pStyle w:val="5"/>
        <w:widowControl/>
        <w:rPr>
          <w:rFonts w:hint="eastAsia" w:ascii="仿宋_GB2312" w:hAnsi="仿宋_GB2312" w:eastAsia="仿宋_GB2312" w:cs="仿宋_GB2312"/>
          <w:color w:val="auto"/>
          <w:sz w:val="32"/>
          <w:highlight w:val="none"/>
        </w:rPr>
      </w:pPr>
      <w:r>
        <w:rPr>
          <w:rFonts w:hint="eastAsia" w:ascii="Calibri" w:hAnsi="Calibri" w:eastAsia="仿宋_GB2312" w:cs="Times New Roman"/>
          <w:b/>
          <w:color w:val="auto"/>
          <w:sz w:val="32"/>
          <w:highlight w:val="none"/>
        </w:rPr>
        <w:t xml:space="preserve">第一条 </w:t>
      </w:r>
      <w:r>
        <w:rPr>
          <w:rFonts w:hint="eastAsia" w:ascii="仿宋_GB2312" w:hAnsi="仿宋_GB2312" w:eastAsia="仿宋_GB2312" w:cs="仿宋_GB2312"/>
          <w:color w:val="auto"/>
          <w:sz w:val="32"/>
          <w:highlight w:val="none"/>
        </w:rPr>
        <w:t>为规范农村集体经营性建设用地入市，构建城乡统一的建设用地市场体系，保障农村集体经济组织和农民的合法权益，根据《中华人民共和国土地管理法》</w:t>
      </w:r>
      <w:r>
        <w:rPr>
          <w:rFonts w:hint="eastAsia" w:ascii="仿宋_GB2312" w:hAnsi="仿宋_GB2312" w:cs="仿宋_GB2312"/>
          <w:color w:val="auto"/>
          <w:sz w:val="32"/>
          <w:highlight w:val="none"/>
          <w:lang w:eastAsia="zh-CN"/>
        </w:rPr>
        <w:t>、</w:t>
      </w:r>
      <w:r>
        <w:rPr>
          <w:rFonts w:hint="eastAsia" w:ascii="仿宋_GB2312" w:hAnsi="仿宋_GB2312" w:eastAsia="仿宋_GB2312" w:cs="仿宋_GB2312"/>
          <w:color w:val="auto"/>
          <w:sz w:val="32"/>
          <w:highlight w:val="none"/>
        </w:rPr>
        <w:t>《中华人民共和国土地管理法实施条例》</w:t>
      </w:r>
      <w:r>
        <w:rPr>
          <w:rFonts w:hint="eastAsia" w:ascii="仿宋_GB2312" w:hAnsi="仿宋_GB2312" w:eastAsia="仿宋_GB2312" w:cs="仿宋_GB2312"/>
          <w:color w:val="auto"/>
          <w:sz w:val="32"/>
          <w:highlight w:val="none"/>
          <w:lang w:eastAsia="zh-CN"/>
        </w:rPr>
        <w:t>、《中华人民共和国</w:t>
      </w:r>
      <w:r>
        <w:rPr>
          <w:rFonts w:hint="eastAsia" w:ascii="仿宋_GB2312" w:hAnsi="仿宋_GB2312" w:cs="仿宋_GB2312"/>
          <w:color w:val="auto"/>
          <w:sz w:val="32"/>
          <w:highlight w:val="none"/>
          <w:lang w:val="en-US" w:eastAsia="zh-CN"/>
        </w:rPr>
        <w:t>农村</w:t>
      </w:r>
      <w:r>
        <w:rPr>
          <w:rFonts w:hint="eastAsia" w:ascii="仿宋_GB2312" w:hAnsi="仿宋_GB2312" w:eastAsia="仿宋_GB2312" w:cs="仿宋_GB2312"/>
          <w:color w:val="auto"/>
          <w:sz w:val="32"/>
          <w:highlight w:val="none"/>
          <w:lang w:eastAsia="zh-CN"/>
        </w:rPr>
        <w:t>集体经济组织法》、</w:t>
      </w:r>
      <w:r>
        <w:rPr>
          <w:rFonts w:hint="eastAsia" w:ascii="仿宋_GB2312" w:hAnsi="仿宋_GB2312" w:eastAsia="仿宋_GB2312" w:cs="仿宋_GB2312"/>
          <w:color w:val="auto"/>
          <w:sz w:val="32"/>
          <w:highlight w:val="none"/>
        </w:rPr>
        <w:t>《省政府关于开展苏南重点城市要素市场化配置综合改革试点的通知》（苏政发〔</w:t>
      </w:r>
      <w:r>
        <w:rPr>
          <w:rFonts w:hint="default" w:ascii="Times New Roman" w:hAnsi="Times New Roman" w:eastAsia="仿宋_GB2312" w:cs="Times New Roman"/>
          <w:color w:val="auto"/>
          <w:sz w:val="32"/>
          <w:highlight w:val="none"/>
        </w:rPr>
        <w:t>2026</w:t>
      </w:r>
      <w:r>
        <w:rPr>
          <w:rFonts w:hint="eastAsia" w:ascii="仿宋_GB2312" w:hAnsi="仿宋_GB2312" w:eastAsia="仿宋_GB2312" w:cs="仿宋_GB2312"/>
          <w:color w:val="auto"/>
          <w:sz w:val="32"/>
          <w:highlight w:val="none"/>
        </w:rPr>
        <w:t>〕</w:t>
      </w:r>
      <w:r>
        <w:rPr>
          <w:rFonts w:hint="eastAsia" w:ascii="Times New Roman" w:hAnsi="Times New Roman" w:eastAsia="仿宋_GB2312" w:cs="Times New Roman"/>
          <w:color w:val="auto"/>
          <w:sz w:val="32"/>
          <w:highlight w:val="none"/>
        </w:rPr>
        <w:t>23</w:t>
      </w:r>
      <w:r>
        <w:rPr>
          <w:rFonts w:hint="eastAsia" w:ascii="仿宋_GB2312" w:hAnsi="仿宋_GB2312" w:eastAsia="仿宋_GB2312" w:cs="仿宋_GB2312"/>
          <w:color w:val="auto"/>
          <w:sz w:val="32"/>
          <w:highlight w:val="none"/>
        </w:rPr>
        <w:t>号）</w:t>
      </w:r>
      <w:r>
        <w:rPr>
          <w:rFonts w:hint="eastAsia" w:ascii="仿宋_GB2312" w:hAnsi="仿宋_GB2312" w:cs="仿宋_GB2312"/>
          <w:color w:val="auto"/>
          <w:sz w:val="32"/>
          <w:highlight w:val="none"/>
          <w:lang w:eastAsia="zh-CN"/>
        </w:rPr>
        <w:t>、《</w:t>
      </w:r>
      <w:r>
        <w:rPr>
          <w:rFonts w:hint="eastAsia" w:ascii="仿宋_GB2312" w:hAnsi="仿宋_GB2312" w:cs="仿宋_GB2312"/>
          <w:color w:val="auto"/>
          <w:sz w:val="32"/>
          <w:highlight w:val="none"/>
          <w:lang w:val="en-US" w:eastAsia="zh-CN"/>
        </w:rPr>
        <w:t>关于印发</w:t>
      </w:r>
      <w:r>
        <w:rPr>
          <w:rFonts w:hint="eastAsia" w:ascii="仿宋_GB2312" w:hAnsi="仿宋_GB2312" w:eastAsia="仿宋_GB2312" w:cs="仿宋_GB2312"/>
          <w:color w:val="auto"/>
          <w:sz w:val="32"/>
          <w:highlight w:val="none"/>
          <w:lang w:val="en-US" w:eastAsia="zh-CN"/>
        </w:rPr>
        <w:t>&lt;</w:t>
      </w:r>
      <w:r>
        <w:rPr>
          <w:rFonts w:hint="eastAsia" w:ascii="仿宋_GB2312" w:hAnsi="仿宋_GB2312" w:cs="仿宋_GB2312"/>
          <w:color w:val="auto"/>
          <w:sz w:val="32"/>
          <w:highlight w:val="none"/>
          <w:lang w:val="en-US" w:eastAsia="zh-CN"/>
        </w:rPr>
        <w:t>农村集体经营性建设用地土地增值收益调节金征收使用管理暂行办法</w:t>
      </w:r>
      <w:r>
        <w:rPr>
          <w:rFonts w:hint="eastAsia" w:ascii="仿宋_GB2312" w:hAnsi="仿宋_GB2312" w:eastAsia="仿宋_GB2312" w:cs="仿宋_GB2312"/>
          <w:color w:val="auto"/>
          <w:sz w:val="32"/>
          <w:highlight w:val="none"/>
          <w:lang w:val="en-US" w:eastAsia="zh-CN"/>
        </w:rPr>
        <w:t>&gt;</w:t>
      </w:r>
      <w:r>
        <w:rPr>
          <w:rFonts w:hint="eastAsia" w:ascii="仿宋_GB2312" w:hAnsi="仿宋_GB2312" w:cs="仿宋_GB2312"/>
          <w:color w:val="auto"/>
          <w:sz w:val="32"/>
          <w:highlight w:val="none"/>
          <w:lang w:val="en-US" w:eastAsia="zh-CN"/>
        </w:rPr>
        <w:t>的通知</w:t>
      </w:r>
      <w:r>
        <w:rPr>
          <w:rFonts w:hint="eastAsia" w:ascii="仿宋_GB2312" w:hAnsi="仿宋_GB2312" w:cs="仿宋_GB2312"/>
          <w:color w:val="auto"/>
          <w:sz w:val="32"/>
          <w:highlight w:val="none"/>
          <w:lang w:eastAsia="zh-CN"/>
        </w:rPr>
        <w:t>》（</w:t>
      </w:r>
      <w:r>
        <w:rPr>
          <w:rFonts w:hint="eastAsia" w:ascii="仿宋_GB2312" w:hAnsi="仿宋_GB2312" w:cs="仿宋_GB2312"/>
          <w:color w:val="auto"/>
          <w:sz w:val="32"/>
          <w:highlight w:val="none"/>
          <w:lang w:val="en-US" w:eastAsia="zh-CN"/>
        </w:rPr>
        <w:t>财税</w:t>
      </w:r>
      <w:r>
        <w:rPr>
          <w:rFonts w:hint="eastAsia" w:ascii="仿宋_GB2312" w:hAnsi="仿宋_GB2312" w:eastAsia="仿宋_GB2312" w:cs="仿宋_GB2312"/>
          <w:color w:val="auto"/>
          <w:sz w:val="32"/>
          <w:highlight w:val="none"/>
        </w:rPr>
        <w:t>〔</w:t>
      </w:r>
      <w:r>
        <w:rPr>
          <w:rFonts w:hint="default" w:ascii="Times New Roman" w:hAnsi="Times New Roman" w:eastAsia="仿宋_GB2312" w:cs="Times New Roman"/>
          <w:color w:val="auto"/>
          <w:sz w:val="32"/>
          <w:highlight w:val="none"/>
        </w:rPr>
        <w:t>20</w:t>
      </w:r>
      <w:r>
        <w:rPr>
          <w:rFonts w:hint="eastAsia" w:ascii="Times New Roman" w:hAnsi="Times New Roman" w:cs="Times New Roman"/>
          <w:color w:val="auto"/>
          <w:sz w:val="32"/>
          <w:highlight w:val="none"/>
          <w:lang w:val="en-US" w:eastAsia="zh-CN"/>
        </w:rPr>
        <w:t>16</w:t>
      </w:r>
      <w:r>
        <w:rPr>
          <w:rFonts w:hint="eastAsia" w:ascii="仿宋_GB2312" w:hAnsi="仿宋_GB2312" w:eastAsia="仿宋_GB2312" w:cs="仿宋_GB2312"/>
          <w:color w:val="auto"/>
          <w:sz w:val="32"/>
          <w:highlight w:val="none"/>
        </w:rPr>
        <w:t>〕</w:t>
      </w:r>
      <w:r>
        <w:rPr>
          <w:rFonts w:hint="eastAsia" w:ascii="Times New Roman" w:hAnsi="Times New Roman" w:cs="Times New Roman"/>
          <w:color w:val="auto"/>
          <w:sz w:val="32"/>
          <w:highlight w:val="none"/>
          <w:lang w:val="en-US" w:eastAsia="zh-CN"/>
        </w:rPr>
        <w:t>41</w:t>
      </w:r>
      <w:r>
        <w:rPr>
          <w:rFonts w:hint="eastAsia" w:ascii="仿宋_GB2312" w:hAnsi="仿宋_GB2312" w:eastAsia="仿宋_GB2312" w:cs="仿宋_GB2312"/>
          <w:color w:val="auto"/>
          <w:sz w:val="32"/>
          <w:highlight w:val="none"/>
        </w:rPr>
        <w:t>号</w:t>
      </w:r>
      <w:r>
        <w:rPr>
          <w:rFonts w:hint="eastAsia" w:ascii="仿宋_GB2312" w:hAnsi="仿宋_GB2312" w:cs="仿宋_GB2312"/>
          <w:color w:val="auto"/>
          <w:sz w:val="32"/>
          <w:highlight w:val="none"/>
          <w:lang w:eastAsia="zh-CN"/>
        </w:rPr>
        <w:t>）、《</w:t>
      </w:r>
      <w:r>
        <w:rPr>
          <w:rFonts w:hint="eastAsia" w:ascii="仿宋_GB2312" w:hAnsi="仿宋_GB2312" w:cs="仿宋_GB2312"/>
          <w:color w:val="auto"/>
          <w:sz w:val="32"/>
          <w:highlight w:val="none"/>
          <w:lang w:val="en-US" w:eastAsia="zh-CN"/>
        </w:rPr>
        <w:t>关于延续实施农村集体经营性建设用地土地增值收益调节金政策的通知</w:t>
      </w:r>
      <w:r>
        <w:rPr>
          <w:rFonts w:hint="eastAsia" w:ascii="仿宋_GB2312" w:hAnsi="仿宋_GB2312" w:cs="仿宋_GB2312"/>
          <w:color w:val="auto"/>
          <w:sz w:val="32"/>
          <w:highlight w:val="none"/>
          <w:lang w:eastAsia="zh-CN"/>
        </w:rPr>
        <w:t>》（</w:t>
      </w:r>
      <w:r>
        <w:rPr>
          <w:rFonts w:hint="eastAsia" w:ascii="仿宋_GB2312" w:hAnsi="仿宋_GB2312" w:cs="仿宋_GB2312"/>
          <w:color w:val="auto"/>
          <w:sz w:val="32"/>
          <w:highlight w:val="none"/>
          <w:lang w:val="en-US" w:eastAsia="zh-CN"/>
        </w:rPr>
        <w:t>财税</w:t>
      </w:r>
      <w:r>
        <w:rPr>
          <w:rFonts w:hint="eastAsia" w:ascii="仿宋_GB2312" w:hAnsi="仿宋_GB2312" w:eastAsia="仿宋_GB2312" w:cs="仿宋_GB2312"/>
          <w:color w:val="auto"/>
          <w:sz w:val="32"/>
          <w:highlight w:val="none"/>
        </w:rPr>
        <w:t>〔</w:t>
      </w:r>
      <w:r>
        <w:rPr>
          <w:rFonts w:hint="default" w:ascii="Times New Roman" w:hAnsi="Times New Roman" w:eastAsia="仿宋_GB2312" w:cs="Times New Roman"/>
          <w:color w:val="auto"/>
          <w:sz w:val="32"/>
          <w:highlight w:val="none"/>
        </w:rPr>
        <w:t>20</w:t>
      </w:r>
      <w:r>
        <w:rPr>
          <w:rFonts w:hint="eastAsia" w:ascii="Times New Roman" w:hAnsi="Times New Roman" w:cs="Times New Roman"/>
          <w:color w:val="auto"/>
          <w:sz w:val="32"/>
          <w:highlight w:val="none"/>
          <w:lang w:val="en-US" w:eastAsia="zh-CN"/>
        </w:rPr>
        <w:t>23</w:t>
      </w:r>
      <w:r>
        <w:rPr>
          <w:rFonts w:hint="eastAsia" w:ascii="仿宋_GB2312" w:hAnsi="仿宋_GB2312" w:eastAsia="仿宋_GB2312" w:cs="仿宋_GB2312"/>
          <w:color w:val="auto"/>
          <w:sz w:val="32"/>
          <w:highlight w:val="none"/>
        </w:rPr>
        <w:t>〕</w:t>
      </w:r>
      <w:r>
        <w:rPr>
          <w:rFonts w:hint="eastAsia" w:ascii="Times New Roman" w:hAnsi="Times New Roman" w:cs="Times New Roman"/>
          <w:color w:val="auto"/>
          <w:sz w:val="32"/>
          <w:highlight w:val="none"/>
          <w:lang w:val="en-US" w:eastAsia="zh-CN"/>
        </w:rPr>
        <w:t>52</w:t>
      </w:r>
      <w:r>
        <w:rPr>
          <w:rFonts w:hint="eastAsia" w:ascii="仿宋_GB2312" w:hAnsi="仿宋_GB2312" w:eastAsia="仿宋_GB2312" w:cs="仿宋_GB2312"/>
          <w:color w:val="auto"/>
          <w:sz w:val="32"/>
          <w:highlight w:val="none"/>
        </w:rPr>
        <w:t>号</w:t>
      </w:r>
      <w:r>
        <w:rPr>
          <w:rFonts w:hint="eastAsia" w:ascii="仿宋_GB2312" w:hAnsi="仿宋_GB2312" w:cs="仿宋_GB2312"/>
          <w:color w:val="auto"/>
          <w:sz w:val="32"/>
          <w:highlight w:val="none"/>
          <w:lang w:eastAsia="zh-CN"/>
        </w:rPr>
        <w:t>）</w:t>
      </w:r>
      <w:r>
        <w:rPr>
          <w:rFonts w:hint="eastAsia" w:ascii="仿宋_GB2312" w:hAnsi="仿宋_GB2312" w:eastAsia="仿宋_GB2312" w:cs="仿宋_GB2312"/>
          <w:color w:val="auto"/>
          <w:sz w:val="32"/>
          <w:highlight w:val="none"/>
        </w:rPr>
        <w:t>等法律、文件的规定和有关要求，结合我区实际，制定本办法。</w:t>
      </w:r>
    </w:p>
    <w:p w14:paraId="263C524B">
      <w:pPr>
        <w:pStyle w:val="5"/>
        <w:widowControl/>
        <w:rPr>
          <w:rFonts w:hint="default" w:ascii="仿宋_GB2312" w:hAnsi="仿宋_GB2312" w:eastAsia="仿宋_GB2312" w:cs="仿宋_GB2312"/>
          <w:color w:val="auto"/>
          <w:sz w:val="32"/>
          <w:highlight w:val="none"/>
          <w:lang w:val="en-US" w:eastAsia="zh-CN"/>
        </w:rPr>
      </w:pPr>
      <w:r>
        <w:rPr>
          <w:rFonts w:hint="eastAsia" w:ascii="Calibri" w:hAnsi="Calibri" w:eastAsia="仿宋_GB2312" w:cs="Times New Roman"/>
          <w:b/>
          <w:color w:val="auto"/>
          <w:sz w:val="32"/>
          <w:highlight w:val="none"/>
        </w:rPr>
        <w:t xml:space="preserve">第二条 </w:t>
      </w:r>
      <w:r>
        <w:rPr>
          <w:rFonts w:hint="eastAsia" w:ascii="仿宋_GB2312" w:hAnsi="仿宋_GB2312" w:eastAsia="仿宋_GB2312" w:cs="仿宋_GB2312"/>
          <w:color w:val="auto"/>
          <w:sz w:val="32"/>
          <w:highlight w:val="none"/>
        </w:rPr>
        <w:t>苏州市相城区</w:t>
      </w:r>
      <w:r>
        <w:rPr>
          <w:rFonts w:hint="eastAsia" w:ascii="仿宋_GB2312" w:hAnsi="仿宋_GB2312" w:eastAsia="仿宋_GB2312" w:cs="仿宋_GB2312"/>
          <w:color w:val="auto"/>
          <w:sz w:val="32"/>
          <w:highlight w:val="none"/>
          <w:lang w:val="en-US" w:eastAsia="zh-CN"/>
        </w:rPr>
        <w:t>范围</w:t>
      </w:r>
      <w:r>
        <w:rPr>
          <w:rFonts w:hint="eastAsia" w:ascii="仿宋_GB2312" w:hAnsi="仿宋_GB2312" w:eastAsia="仿宋_GB2312" w:cs="仿宋_GB2312"/>
          <w:color w:val="auto"/>
          <w:sz w:val="32"/>
          <w:highlight w:val="none"/>
        </w:rPr>
        <w:t>内的农村集体经营性建设用地入市，适用本办法。</w:t>
      </w:r>
      <w:r>
        <w:rPr>
          <w:rFonts w:hint="eastAsia" w:ascii="仿宋_GB2312" w:hAnsi="仿宋_GB2312" w:eastAsia="仿宋_GB2312" w:cs="仿宋_GB2312"/>
          <w:color w:val="auto"/>
          <w:sz w:val="32"/>
          <w:highlight w:val="none"/>
          <w:lang w:val="en-US" w:eastAsia="zh-CN"/>
        </w:rPr>
        <w:t>法律、法规另有规定的，从其规定。</w:t>
      </w:r>
    </w:p>
    <w:p w14:paraId="6866D10F">
      <w:pPr>
        <w:pStyle w:val="5"/>
        <w:widowControl/>
        <w:rPr>
          <w:rFonts w:hint="eastAsia"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sz w:val="32"/>
          <w:highlight w:val="none"/>
        </w:rPr>
        <w:t>本办法所称农村集体经营性建设用地，是指在国土空间规划中确定为工业、仓储、商业等经营性用途并经依法登记的农村集体建设用地</w:t>
      </w:r>
      <w:r>
        <w:rPr>
          <w:rFonts w:ascii="Calibri" w:hAnsi="Calibri" w:eastAsia="仿宋_GB2312" w:cs="Times New Roman"/>
          <w:color w:val="auto"/>
          <w:sz w:val="32"/>
          <w:highlight w:val="none"/>
        </w:rPr>
        <w:t>。</w:t>
      </w:r>
    </w:p>
    <w:p w14:paraId="799BC9F7">
      <w:pPr>
        <w:pStyle w:val="5"/>
        <w:widowControl/>
        <w:rPr>
          <w:rFonts w:hint="eastAsia" w:ascii="仿宋_GB2312" w:hAnsi="仿宋_GB2312" w:eastAsia="仿宋_GB2312" w:cs="仿宋_GB2312"/>
          <w:color w:val="auto"/>
          <w:sz w:val="32"/>
          <w:highlight w:val="none"/>
        </w:rPr>
      </w:pPr>
      <w:r>
        <w:rPr>
          <w:rFonts w:hint="eastAsia" w:ascii="Calibri" w:hAnsi="Calibri" w:eastAsia="仿宋_GB2312" w:cs="Times New Roman"/>
          <w:b/>
          <w:color w:val="auto"/>
          <w:sz w:val="32"/>
          <w:highlight w:val="none"/>
        </w:rPr>
        <w:t xml:space="preserve">第三条 </w:t>
      </w:r>
      <w:r>
        <w:rPr>
          <w:rFonts w:hint="eastAsia" w:ascii="仿宋_GB2312" w:hAnsi="仿宋_GB2312" w:eastAsia="仿宋_GB2312" w:cs="仿宋_GB2312"/>
          <w:color w:val="auto"/>
          <w:sz w:val="32"/>
          <w:highlight w:val="none"/>
        </w:rPr>
        <w:t>在农村集体土地所有权不变、耕地红线不突破、农民利益不受损的前提下，农村集体经营性建设用地使用权按照依法、自愿、公平、公开的原则，实行有偿、有期限的使用制度。</w:t>
      </w:r>
    </w:p>
    <w:p w14:paraId="45F1C197">
      <w:pPr>
        <w:pStyle w:val="5"/>
        <w:widowControl/>
        <w:rPr>
          <w:rFonts w:hint="eastAsia" w:ascii="仿宋_GB2312" w:hAnsi="仿宋_GB2312" w:eastAsia="仿宋_GB2312" w:cs="仿宋_GB2312"/>
          <w:color w:val="auto"/>
          <w:sz w:val="32"/>
          <w:highlight w:val="none"/>
        </w:rPr>
      </w:pPr>
      <w:r>
        <w:rPr>
          <w:rFonts w:hint="eastAsia" w:cs="Times New Roman"/>
          <w:b/>
          <w:color w:val="auto"/>
          <w:sz w:val="32"/>
          <w:highlight w:val="none"/>
          <w:lang w:val="en-US" w:eastAsia="zh-CN"/>
        </w:rPr>
        <w:t>第四条</w:t>
      </w:r>
      <w:r>
        <w:rPr>
          <w:rFonts w:hint="eastAsia" w:cs="Times New Roman"/>
          <w:color w:val="auto"/>
          <w:sz w:val="32"/>
          <w:highlight w:val="none"/>
          <w:lang w:val="en-US" w:eastAsia="zh-CN"/>
        </w:rPr>
        <w:t xml:space="preserve"> </w:t>
      </w:r>
      <w:r>
        <w:rPr>
          <w:rFonts w:hint="eastAsia" w:ascii="仿宋_GB2312" w:hAnsi="仿宋_GB2312" w:eastAsia="仿宋_GB2312" w:cs="仿宋_GB2312"/>
          <w:color w:val="auto"/>
          <w:sz w:val="32"/>
          <w:highlight w:val="none"/>
        </w:rPr>
        <w:t>积极探索和建立农村持续发展和农民增收机制，不同区域间土地增值收益的平衡机制，以及农民参与、共建共享的利益分配机制，充分发挥市场的决定性作用。</w:t>
      </w:r>
    </w:p>
    <w:p w14:paraId="49FE54FB">
      <w:pPr>
        <w:pStyle w:val="5"/>
        <w:widowControl/>
        <w:rPr>
          <w:rFonts w:hint="default" w:ascii="仿宋_GB2312" w:hAnsi="仿宋_GB2312"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sz w:val="32"/>
          <w:highlight w:val="none"/>
        </w:rPr>
        <w:t>坚持规划引领、用途管制、村民自愿、权益保障、权属清晰、权能完整、统一市场、统一监管、同权同责、合理分配的原则。</w:t>
      </w:r>
      <w:r>
        <w:rPr>
          <w:rFonts w:hint="eastAsia" w:ascii="仿宋_GB2312" w:hAnsi="仿宋_GB2312" w:eastAsia="仿宋_GB2312" w:cs="仿宋_GB2312"/>
          <w:color w:val="auto"/>
          <w:sz w:val="32"/>
          <w:highlight w:val="none"/>
          <w:lang w:val="en-US" w:eastAsia="zh-CN"/>
        </w:rPr>
        <w:t>各部门应建立联席会议或协调机制，统筹推进农村集体经营性建设用地入市工作</w:t>
      </w:r>
      <w:r>
        <w:rPr>
          <w:rFonts w:hint="eastAsia" w:ascii="Calibri" w:hAnsi="Calibri" w:eastAsia="仿宋_GB2312" w:cs="Times New Roman"/>
          <w:color w:val="auto"/>
          <w:sz w:val="32"/>
          <w:highlight w:val="none"/>
          <w:lang w:val="en-US" w:eastAsia="zh-CN"/>
        </w:rPr>
        <w:t>。</w:t>
      </w:r>
    </w:p>
    <w:p w14:paraId="1476A1A5">
      <w:pPr>
        <w:pStyle w:val="5"/>
        <w:widowControl/>
        <w:rPr>
          <w:rFonts w:ascii="Calibri" w:hAnsi="Calibri" w:eastAsia="仿宋_GB2312" w:cs="Times New Roman"/>
          <w:color w:val="auto"/>
          <w:sz w:val="32"/>
          <w:highlight w:val="none"/>
        </w:rPr>
      </w:pPr>
      <w:r>
        <w:rPr>
          <w:rFonts w:hint="eastAsia" w:cs="Times New Roman"/>
          <w:b/>
          <w:color w:val="auto"/>
          <w:sz w:val="32"/>
          <w:highlight w:val="none"/>
          <w:lang w:val="en-US" w:eastAsia="zh-CN"/>
        </w:rPr>
        <w:t>第五条</w:t>
      </w:r>
      <w:r>
        <w:rPr>
          <w:rFonts w:hint="eastAsia" w:ascii="Calibri" w:hAnsi="Calibri" w:eastAsia="仿宋_GB2312" w:cs="Times New Roman"/>
          <w:b/>
          <w:color w:val="auto"/>
          <w:sz w:val="32"/>
          <w:highlight w:val="none"/>
        </w:rPr>
        <w:t xml:space="preserve"> </w:t>
      </w:r>
      <w:r>
        <w:rPr>
          <w:rFonts w:ascii="Calibri" w:hAnsi="Calibri" w:eastAsia="仿宋_GB2312" w:cs="Times New Roman"/>
          <w:color w:val="auto"/>
          <w:sz w:val="32"/>
          <w:highlight w:val="none"/>
        </w:rPr>
        <w:t>各镇</w:t>
      </w:r>
      <w:r>
        <w:rPr>
          <w:rFonts w:hint="eastAsia" w:ascii="仿宋_GB2312" w:hAnsi="仿宋_GB2312" w:eastAsia="仿宋_GB2312" w:cs="仿宋_GB2312"/>
          <w:color w:val="auto"/>
          <w:sz w:val="32"/>
          <w:highlight w:val="none"/>
        </w:rPr>
        <w:t>（街道）政府（办事处）负责农村集体经营性建设用地入市的组织实施和监督管理工作。区</w:t>
      </w:r>
      <w:r>
        <w:rPr>
          <w:rFonts w:hint="eastAsia" w:ascii="仿宋_GB2312" w:hAnsi="仿宋_GB2312" w:eastAsia="仿宋_GB2312" w:cs="仿宋_GB2312"/>
          <w:color w:val="auto"/>
          <w:sz w:val="32"/>
          <w:highlight w:val="none"/>
          <w:lang w:val="en-US" w:eastAsia="zh-CN"/>
        </w:rPr>
        <w:t>资规分</w:t>
      </w:r>
      <w:r>
        <w:rPr>
          <w:rFonts w:hint="eastAsia" w:ascii="仿宋_GB2312" w:hAnsi="仿宋_GB2312" w:eastAsia="仿宋_GB2312" w:cs="仿宋_GB2312"/>
          <w:color w:val="auto"/>
          <w:sz w:val="32"/>
          <w:highlight w:val="none"/>
        </w:rPr>
        <w:t>局、</w:t>
      </w:r>
      <w:r>
        <w:rPr>
          <w:rFonts w:hint="eastAsia" w:ascii="Calibri" w:hAnsi="Calibri" w:eastAsia="仿宋_GB2312" w:cs="Times New Roman"/>
          <w:color w:val="auto"/>
          <w:kern w:val="0"/>
          <w:sz w:val="32"/>
          <w:szCs w:val="20"/>
          <w:highlight w:val="none"/>
          <w:lang w:eastAsia="zh-CN"/>
        </w:rPr>
        <w:t>区财政局</w:t>
      </w:r>
      <w:r>
        <w:rPr>
          <w:rFonts w:hint="eastAsia" w:ascii="仿宋_GB2312" w:hAnsi="仿宋_GB2312" w:eastAsia="仿宋_GB2312" w:cs="仿宋_GB2312"/>
          <w:color w:val="auto"/>
          <w:sz w:val="32"/>
          <w:highlight w:val="none"/>
        </w:rPr>
        <w:t>、农业农村局负责牵头协调和指导入市工作。区发改委、工信局、司法局、住建局、水务局、数据局、金融监管局、</w:t>
      </w:r>
      <w:r>
        <w:rPr>
          <w:rFonts w:hint="eastAsia" w:ascii="仿宋_GB2312" w:hAnsi="仿宋_GB2312" w:eastAsia="仿宋_GB2312" w:cs="仿宋_GB2312"/>
          <w:color w:val="auto"/>
          <w:sz w:val="32"/>
          <w:highlight w:val="none"/>
          <w:lang w:val="en-US" w:eastAsia="zh-CN"/>
        </w:rPr>
        <w:t>相城</w:t>
      </w:r>
      <w:r>
        <w:rPr>
          <w:rFonts w:hint="eastAsia" w:ascii="仿宋_GB2312" w:hAnsi="仿宋_GB2312" w:eastAsia="仿宋_GB2312" w:cs="仿宋_GB2312"/>
          <w:color w:val="auto"/>
          <w:sz w:val="32"/>
          <w:highlight w:val="none"/>
        </w:rPr>
        <w:t>生态环境局、税务局</w:t>
      </w:r>
      <w:r>
        <w:rPr>
          <w:rFonts w:ascii="Calibri" w:hAnsi="Calibri" w:eastAsia="仿宋_GB2312" w:cs="Times New Roman"/>
          <w:color w:val="auto"/>
          <w:sz w:val="32"/>
          <w:highlight w:val="none"/>
        </w:rPr>
        <w:t>等相关部门按照各自职责做好相关工作。</w:t>
      </w:r>
    </w:p>
    <w:p w14:paraId="44BEA3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left"/>
        <w:rPr>
          <w:rFonts w:hint="eastAsia" w:ascii="Calibri" w:hAnsi="Calibri" w:eastAsia="仿宋_GB2312" w:cs="Times New Roman"/>
          <w:color w:val="auto"/>
          <w:sz w:val="32"/>
          <w:highlight w:val="none"/>
          <w:lang w:val="en-US" w:eastAsia="zh-CN"/>
        </w:rPr>
      </w:pPr>
    </w:p>
    <w:p w14:paraId="49113ACE">
      <w:pPr>
        <w:pStyle w:val="12"/>
        <w:widowControl/>
        <w:numPr>
          <w:ilvl w:val="0"/>
          <w:numId w:val="0"/>
        </w:numPr>
        <w:ind w:leftChars="0"/>
        <w:rPr>
          <w:rFonts w:hint="default"/>
          <w:color w:val="auto"/>
          <w:highlight w:val="none"/>
          <w:lang w:val="en-US" w:eastAsia="zh-CN"/>
        </w:rPr>
      </w:pPr>
      <w:r>
        <w:rPr>
          <w:rFonts w:hint="eastAsia"/>
          <w:color w:val="auto"/>
          <w:highlight w:val="none"/>
          <w:lang w:eastAsia="zh-CN"/>
        </w:rPr>
        <w:t>第二章 入市</w:t>
      </w:r>
      <w:r>
        <w:rPr>
          <w:rFonts w:hint="eastAsia"/>
          <w:color w:val="auto"/>
          <w:highlight w:val="none"/>
          <w:lang w:val="en-US" w:eastAsia="zh-CN"/>
        </w:rPr>
        <w:t>范围和条件</w:t>
      </w:r>
    </w:p>
    <w:p w14:paraId="340F187E">
      <w:pPr>
        <w:pStyle w:val="5"/>
        <w:widowControl/>
        <w:rPr>
          <w:rFonts w:hint="eastAsia" w:ascii="仿宋_GB2312" w:hAnsi="仿宋_GB2312" w:eastAsia="仿宋_GB2312" w:cs="仿宋_GB2312"/>
          <w:color w:val="auto"/>
          <w:sz w:val="32"/>
          <w:highlight w:val="none"/>
        </w:rPr>
      </w:pPr>
      <w:r>
        <w:rPr>
          <w:rFonts w:hint="eastAsia" w:ascii="Calibri" w:hAnsi="Calibri" w:eastAsia="仿宋_GB2312" w:cs="Times New Roman"/>
          <w:b/>
          <w:color w:val="auto"/>
          <w:sz w:val="32"/>
          <w:highlight w:val="none"/>
        </w:rPr>
        <w:t>第</w:t>
      </w:r>
      <w:r>
        <w:rPr>
          <w:rFonts w:hint="eastAsia" w:cs="Times New Roman"/>
          <w:b/>
          <w:color w:val="auto"/>
          <w:sz w:val="32"/>
          <w:highlight w:val="none"/>
          <w:lang w:val="en-US" w:eastAsia="zh-CN"/>
        </w:rPr>
        <w:t>六条</w:t>
      </w:r>
      <w:r>
        <w:rPr>
          <w:rFonts w:hint="eastAsia" w:ascii="Calibri" w:hAnsi="Calibri" w:eastAsia="仿宋_GB2312" w:cs="Times New Roman"/>
          <w:b/>
          <w:color w:val="auto"/>
          <w:sz w:val="32"/>
          <w:highlight w:val="none"/>
        </w:rPr>
        <w:t xml:space="preserve"> </w:t>
      </w:r>
      <w:r>
        <w:rPr>
          <w:rFonts w:hint="eastAsia" w:ascii="仿宋_GB2312" w:hAnsi="仿宋_GB2312" w:eastAsia="仿宋_GB2312" w:cs="仿宋_GB2312"/>
          <w:color w:val="auto"/>
          <w:sz w:val="32"/>
          <w:highlight w:val="none"/>
        </w:rPr>
        <w:t>农村集体经营性建设用地入市应优先选择城镇开发边界外的区域。城镇开发边界内</w:t>
      </w:r>
      <w:r>
        <w:rPr>
          <w:rFonts w:hint="eastAsia" w:ascii="仿宋_GB2312" w:hAnsi="仿宋_GB2312" w:eastAsia="仿宋_GB2312" w:cs="仿宋_GB2312"/>
          <w:color w:val="auto"/>
          <w:sz w:val="32"/>
          <w:highlight w:val="none"/>
          <w:lang w:val="en-US" w:eastAsia="zh-CN"/>
        </w:rPr>
        <w:t>确因规划实施需要不具备征收条件的，经依法论证后，可开展入市。</w:t>
      </w:r>
    </w:p>
    <w:p w14:paraId="5A2918C3">
      <w:pPr>
        <w:pStyle w:val="5"/>
        <w:widowControl/>
        <w:rPr>
          <w:rFonts w:hint="default" w:ascii="Calibri" w:hAnsi="Calibri" w:eastAsia="仿宋_GB2312" w:cs="Times New Roman"/>
          <w:color w:val="auto"/>
          <w:sz w:val="32"/>
          <w:highlight w:val="none"/>
          <w:lang w:val="en-US" w:eastAsia="zh-CN"/>
        </w:rPr>
      </w:pPr>
      <w:r>
        <w:rPr>
          <w:rFonts w:hint="eastAsia" w:ascii="仿宋_GB2312" w:hAnsi="仿宋_GB2312" w:eastAsia="仿宋_GB2312" w:cs="仿宋_GB2312"/>
          <w:color w:val="auto"/>
          <w:sz w:val="32"/>
          <w:highlight w:val="none"/>
        </w:rPr>
        <w:t>农村集体经营性建设用地入市应符合产业政策和环保安全等要求，重点保障实施乡村振兴战略、发展乡村产业和乡村建设的用地需求，优先支持农村一二三产业融合发展项目和农村服务业、公益事业项目</w:t>
      </w:r>
      <w:r>
        <w:rPr>
          <w:rFonts w:ascii="Calibri" w:hAnsi="Calibri" w:eastAsia="仿宋_GB2312" w:cs="Times New Roman"/>
          <w:color w:val="auto"/>
          <w:sz w:val="32"/>
          <w:highlight w:val="none"/>
        </w:rPr>
        <w:t>。</w:t>
      </w:r>
    </w:p>
    <w:p w14:paraId="4F7CEBF7">
      <w:pPr>
        <w:pStyle w:val="5"/>
        <w:widowControl/>
        <w:rPr>
          <w:rFonts w:hint="eastAsia" w:ascii="仿宋_GB2312" w:hAnsi="仿宋_GB2312" w:eastAsia="仿宋_GB2312" w:cs="仿宋_GB2312"/>
          <w:color w:val="auto"/>
          <w:sz w:val="32"/>
          <w:highlight w:val="none"/>
        </w:rPr>
      </w:pPr>
      <w:r>
        <w:rPr>
          <w:rFonts w:hint="eastAsia" w:cs="Times New Roman"/>
          <w:b/>
          <w:color w:val="auto"/>
          <w:sz w:val="32"/>
          <w:highlight w:val="none"/>
          <w:lang w:val="en-US" w:eastAsia="zh-CN"/>
        </w:rPr>
        <w:t xml:space="preserve">第七条 </w:t>
      </w:r>
      <w:r>
        <w:rPr>
          <w:rFonts w:hint="eastAsia" w:ascii="仿宋_GB2312" w:hAnsi="仿宋_GB2312" w:eastAsia="仿宋_GB2312" w:cs="仿宋_GB2312"/>
          <w:color w:val="auto"/>
          <w:sz w:val="32"/>
          <w:highlight w:val="none"/>
        </w:rPr>
        <w:t>农村集体经营性建设用地开发利用须严守生态保护红线、永久基本农田等空间管控边界，执行国土空间用途管制规定，按照规定用途使用土地。</w:t>
      </w:r>
    </w:p>
    <w:p w14:paraId="58B7F5E5">
      <w:pPr>
        <w:pStyle w:val="5"/>
        <w:widowControl/>
        <w:rPr>
          <w:rFonts w:ascii="Calibri" w:hAnsi="Calibri" w:eastAsia="仿宋_GB2312" w:cs="Times New Roman"/>
          <w:color w:val="auto"/>
          <w:sz w:val="32"/>
          <w:highlight w:val="none"/>
        </w:rPr>
      </w:pPr>
      <w:r>
        <w:rPr>
          <w:rFonts w:hint="eastAsia" w:ascii="仿宋_GB2312" w:hAnsi="仿宋_GB2312" w:eastAsia="仿宋_GB2312" w:cs="仿宋_GB2312"/>
          <w:color w:val="auto"/>
          <w:sz w:val="32"/>
          <w:highlight w:val="none"/>
        </w:rPr>
        <w:t>允许在保证耕地不减少、建设用地不增加的前提下，按照节约集约的原则，</w:t>
      </w:r>
      <w:r>
        <w:rPr>
          <w:rFonts w:hint="eastAsia" w:ascii="仿宋_GB2312" w:hAnsi="仿宋_GB2312" w:eastAsia="仿宋_GB2312" w:cs="仿宋_GB2312"/>
          <w:color w:val="auto"/>
          <w:sz w:val="32"/>
          <w:highlight w:val="none"/>
          <w:lang w:val="en-US" w:eastAsia="zh-CN"/>
        </w:rPr>
        <w:t>可结合全域整治工作将零星、插花的小块存量集体建设用地整治归并为大块宗地，</w:t>
      </w:r>
      <w:r>
        <w:rPr>
          <w:rFonts w:hint="eastAsia" w:ascii="仿宋_GB2312" w:hAnsi="仿宋_GB2312" w:eastAsia="仿宋_GB2312" w:cs="仿宋_GB2312"/>
          <w:color w:val="auto"/>
          <w:sz w:val="32"/>
          <w:highlight w:val="none"/>
        </w:rPr>
        <w:t>合理利用存量农村集体经营性建设用地</w:t>
      </w:r>
      <w:r>
        <w:rPr>
          <w:rFonts w:hint="eastAsia" w:ascii="仿宋_GB2312" w:hAnsi="仿宋_GB2312" w:eastAsia="仿宋_GB2312" w:cs="仿宋_GB2312"/>
          <w:color w:val="auto"/>
          <w:sz w:val="32"/>
          <w:highlight w:val="none"/>
          <w:lang w:eastAsia="zh-CN"/>
        </w:rPr>
        <w:t>，</w:t>
      </w:r>
      <w:r>
        <w:rPr>
          <w:rFonts w:hint="eastAsia" w:ascii="仿宋_GB2312" w:hAnsi="仿宋_GB2312" w:eastAsia="仿宋_GB2312" w:cs="仿宋_GB2312"/>
          <w:color w:val="auto"/>
          <w:sz w:val="32"/>
          <w:highlight w:val="none"/>
        </w:rPr>
        <w:t>通过先垦后用的方式调整使用</w:t>
      </w:r>
      <w:r>
        <w:rPr>
          <w:rFonts w:hint="eastAsia" w:ascii="仿宋_GB2312" w:hAnsi="仿宋_GB2312" w:eastAsia="仿宋_GB2312" w:cs="仿宋_GB2312"/>
          <w:color w:val="auto"/>
          <w:sz w:val="32"/>
          <w:highlight w:val="none"/>
          <w:lang w:eastAsia="zh-CN"/>
        </w:rPr>
        <w:t>，“</w:t>
      </w:r>
      <w:r>
        <w:rPr>
          <w:rFonts w:hint="eastAsia" w:ascii="仿宋_GB2312" w:hAnsi="仿宋_GB2312" w:eastAsia="仿宋_GB2312" w:cs="仿宋_GB2312"/>
          <w:color w:val="auto"/>
          <w:sz w:val="32"/>
          <w:highlight w:val="none"/>
          <w:lang w:val="en-US" w:eastAsia="zh-CN"/>
        </w:rPr>
        <w:t>先垦后用</w:t>
      </w:r>
      <w:r>
        <w:rPr>
          <w:rFonts w:hint="eastAsia" w:ascii="仿宋_GB2312" w:hAnsi="仿宋_GB2312" w:eastAsia="仿宋_GB2312" w:cs="仿宋_GB2312"/>
          <w:color w:val="auto"/>
          <w:sz w:val="32"/>
          <w:highlight w:val="none"/>
          <w:lang w:eastAsia="zh-CN"/>
        </w:rPr>
        <w:t>”</w:t>
      </w:r>
      <w:r>
        <w:rPr>
          <w:rFonts w:hint="eastAsia" w:ascii="仿宋_GB2312" w:hAnsi="仿宋_GB2312" w:eastAsia="仿宋_GB2312" w:cs="仿宋_GB2312"/>
          <w:color w:val="auto"/>
          <w:sz w:val="32"/>
          <w:highlight w:val="none"/>
          <w:lang w:val="en-US" w:eastAsia="zh-CN"/>
        </w:rPr>
        <w:t>应依法履行相关审批或备案手续</w:t>
      </w:r>
      <w:r>
        <w:rPr>
          <w:rFonts w:ascii="Calibri" w:hAnsi="Calibri" w:eastAsia="仿宋_GB2312" w:cs="Times New Roman"/>
          <w:color w:val="auto"/>
          <w:sz w:val="32"/>
          <w:highlight w:val="none"/>
        </w:rPr>
        <w:t>。</w:t>
      </w:r>
    </w:p>
    <w:p w14:paraId="48F57E5B">
      <w:pPr>
        <w:pStyle w:val="5"/>
        <w:widowControl/>
        <w:rPr>
          <w:rFonts w:hint="eastAsia" w:ascii="仿宋_GB2312" w:hAnsi="仿宋_GB2312" w:eastAsia="仿宋_GB2312" w:cs="仿宋_GB2312"/>
          <w:color w:val="auto"/>
          <w:sz w:val="32"/>
          <w:highlight w:val="none"/>
        </w:rPr>
      </w:pPr>
      <w:r>
        <w:rPr>
          <w:rFonts w:hint="eastAsia" w:ascii="Calibri" w:hAnsi="Calibri" w:eastAsia="仿宋_GB2312" w:cs="Times New Roman"/>
          <w:b/>
          <w:color w:val="auto"/>
          <w:kern w:val="0"/>
          <w:sz w:val="32"/>
          <w:szCs w:val="20"/>
          <w:highlight w:val="none"/>
          <w:lang w:val="en-US" w:eastAsia="zh-CN"/>
        </w:rPr>
        <w:t xml:space="preserve">第八条 </w:t>
      </w:r>
      <w:r>
        <w:rPr>
          <w:rFonts w:hint="eastAsia" w:ascii="仿宋_GB2312" w:hAnsi="仿宋_GB2312" w:eastAsia="仿宋_GB2312" w:cs="仿宋_GB2312"/>
          <w:color w:val="auto"/>
          <w:sz w:val="32"/>
          <w:highlight w:val="none"/>
        </w:rPr>
        <w:t>农村集体经营性建设用地入市地块应当符合以下要求：</w:t>
      </w:r>
    </w:p>
    <w:p w14:paraId="2CDAB8E0">
      <w:pPr>
        <w:pStyle w:val="5"/>
        <w:widowControl/>
        <w:rPr>
          <w:rFonts w:hint="eastAsia"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lang w:eastAsia="zh-CN"/>
        </w:rPr>
        <w:t>（一）</w:t>
      </w:r>
      <w:r>
        <w:rPr>
          <w:rFonts w:hint="eastAsia" w:ascii="仿宋_GB2312" w:hAnsi="仿宋_GB2312" w:eastAsia="仿宋_GB2312" w:cs="仿宋_GB2312"/>
          <w:color w:val="auto"/>
          <w:sz w:val="32"/>
          <w:highlight w:val="none"/>
        </w:rPr>
        <w:t>权属清晰，没有争议，并经依法登记，且未被司法机关查封或行政机关限制土地权利；</w:t>
      </w:r>
    </w:p>
    <w:p w14:paraId="4F6091E7">
      <w:pPr>
        <w:pStyle w:val="5"/>
        <w:widowControl/>
        <w:rPr>
          <w:rFonts w:hint="eastAsia"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lang w:eastAsia="zh-CN"/>
        </w:rPr>
        <w:t>（二）</w:t>
      </w:r>
      <w:r>
        <w:rPr>
          <w:rFonts w:hint="eastAsia" w:ascii="仿宋_GB2312" w:hAnsi="仿宋_GB2312" w:eastAsia="仿宋_GB2312" w:cs="仿宋_GB2312"/>
          <w:color w:val="auto"/>
          <w:sz w:val="32"/>
          <w:highlight w:val="none"/>
        </w:rPr>
        <w:t>地上建筑物、其他附着物产权和补偿已经处理完毕；</w:t>
      </w:r>
    </w:p>
    <w:p w14:paraId="5AE09666">
      <w:pPr>
        <w:pStyle w:val="5"/>
        <w:widowControl/>
        <w:rPr>
          <w:rFonts w:hint="eastAsia"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lang w:eastAsia="zh-CN"/>
        </w:rPr>
        <w:t>（三）</w:t>
      </w:r>
      <w:r>
        <w:rPr>
          <w:rFonts w:hint="eastAsia" w:ascii="仿宋_GB2312" w:hAnsi="仿宋_GB2312" w:eastAsia="仿宋_GB2312" w:cs="仿宋_GB2312"/>
          <w:color w:val="auto"/>
          <w:sz w:val="32"/>
          <w:highlight w:val="none"/>
        </w:rPr>
        <w:t>具备必要的通路、通水、通电、土地平整等开发建设条件，入市交易双方另有约定的除外；</w:t>
      </w:r>
    </w:p>
    <w:p w14:paraId="7493F29C">
      <w:pPr>
        <w:pStyle w:val="5"/>
        <w:widowControl/>
        <w:rPr>
          <w:rFonts w:hint="eastAsia" w:ascii="仿宋_GB2312" w:hAnsi="仿宋_GB2312" w:eastAsia="仿宋_GB2312" w:cs="仿宋_GB2312"/>
          <w:color w:val="auto"/>
          <w:sz w:val="32"/>
          <w:highlight w:val="none"/>
        </w:rPr>
      </w:pPr>
      <w:r>
        <w:rPr>
          <w:rFonts w:hint="eastAsia" w:ascii="仿宋_GB2312" w:hAnsi="仿宋_GB2312" w:eastAsia="仿宋_GB2312" w:cs="仿宋_GB2312"/>
          <w:color w:val="auto"/>
          <w:sz w:val="32"/>
          <w:highlight w:val="none"/>
          <w:lang w:eastAsia="zh-CN"/>
        </w:rPr>
        <w:t>（四）</w:t>
      </w:r>
      <w:r>
        <w:rPr>
          <w:rFonts w:hint="eastAsia" w:ascii="仿宋_GB2312" w:hAnsi="仿宋_GB2312" w:eastAsia="仿宋_GB2312" w:cs="仿宋_GB2312"/>
          <w:color w:val="auto"/>
          <w:sz w:val="32"/>
          <w:highlight w:val="none"/>
        </w:rPr>
        <w:t>详细规划确定为工业、仓储、商业等经营性用途。</w:t>
      </w:r>
    </w:p>
    <w:p w14:paraId="19E9579F">
      <w:pPr>
        <w:pStyle w:val="5"/>
        <w:widowControl/>
        <w:rPr>
          <w:rFonts w:hint="default" w:ascii="Calibri" w:hAnsi="Calibri" w:eastAsia="仿宋_GB2312" w:cs="Times New Roman"/>
          <w:color w:val="auto"/>
          <w:sz w:val="32"/>
          <w:highlight w:val="none"/>
          <w:lang w:val="en-US" w:eastAsia="zh-CN"/>
        </w:rPr>
      </w:pPr>
      <w:r>
        <w:rPr>
          <w:rFonts w:hint="eastAsia" w:ascii="仿宋_GB2312" w:hAnsi="仿宋_GB2312" w:eastAsia="仿宋_GB2312" w:cs="仿宋_GB2312"/>
          <w:color w:val="auto"/>
          <w:sz w:val="32"/>
          <w:highlight w:val="none"/>
          <w:lang w:eastAsia="zh-CN"/>
        </w:rPr>
        <w:t>（</w:t>
      </w:r>
      <w:r>
        <w:rPr>
          <w:rFonts w:hint="eastAsia" w:ascii="仿宋_GB2312" w:hAnsi="仿宋_GB2312" w:eastAsia="仿宋_GB2312" w:cs="仿宋_GB2312"/>
          <w:color w:val="auto"/>
          <w:sz w:val="32"/>
          <w:highlight w:val="none"/>
          <w:lang w:val="en-US" w:eastAsia="zh-CN"/>
        </w:rPr>
        <w:t>五</w:t>
      </w:r>
      <w:r>
        <w:rPr>
          <w:rFonts w:hint="eastAsia" w:ascii="仿宋_GB2312" w:hAnsi="仿宋_GB2312" w:eastAsia="仿宋_GB2312" w:cs="仿宋_GB2312"/>
          <w:color w:val="auto"/>
          <w:sz w:val="32"/>
          <w:highlight w:val="none"/>
          <w:lang w:eastAsia="zh-CN"/>
        </w:rPr>
        <w:t>）</w:t>
      </w:r>
      <w:r>
        <w:rPr>
          <w:rFonts w:hint="eastAsia" w:ascii="仿宋_GB2312" w:hAnsi="仿宋_GB2312" w:eastAsia="仿宋_GB2312" w:cs="仿宋_GB2312"/>
          <w:color w:val="auto"/>
          <w:sz w:val="32"/>
          <w:highlight w:val="none"/>
          <w:lang w:val="en-US" w:eastAsia="zh-CN"/>
        </w:rPr>
        <w:t>符合安全生产、环境保护及产业准入要求</w:t>
      </w:r>
      <w:r>
        <w:rPr>
          <w:rFonts w:hint="eastAsia" w:ascii="Calibri" w:hAnsi="Calibri" w:eastAsia="仿宋_GB2312" w:cs="Times New Roman"/>
          <w:color w:val="auto"/>
          <w:sz w:val="32"/>
          <w:highlight w:val="none"/>
          <w:lang w:val="en-US" w:eastAsia="zh-CN"/>
        </w:rPr>
        <w:t>。</w:t>
      </w:r>
    </w:p>
    <w:p w14:paraId="6BC029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both"/>
        <w:rPr>
          <w:rFonts w:ascii="Calibri" w:hAnsi="Calibri" w:eastAsia="仿宋_GB2312" w:cs="Times New Roman"/>
          <w:color w:val="auto"/>
          <w:sz w:val="32"/>
          <w:highlight w:val="none"/>
        </w:rPr>
      </w:pPr>
    </w:p>
    <w:p w14:paraId="74C576C4">
      <w:pPr>
        <w:pStyle w:val="12"/>
        <w:widowControl/>
        <w:numPr>
          <w:ilvl w:val="0"/>
          <w:numId w:val="0"/>
        </w:numPr>
        <w:ind w:leftChars="0"/>
        <w:rPr>
          <w:rFonts w:hint="eastAsia"/>
          <w:color w:val="auto"/>
          <w:highlight w:val="none"/>
          <w:lang w:eastAsia="zh-CN"/>
        </w:rPr>
      </w:pPr>
      <w:r>
        <w:rPr>
          <w:rFonts w:hint="eastAsia"/>
          <w:color w:val="auto"/>
          <w:highlight w:val="none"/>
          <w:lang w:eastAsia="zh-CN"/>
        </w:rPr>
        <w:t>第</w:t>
      </w:r>
      <w:r>
        <w:rPr>
          <w:rFonts w:hint="eastAsia"/>
          <w:color w:val="auto"/>
          <w:highlight w:val="none"/>
          <w:lang w:val="en-US" w:eastAsia="zh-CN"/>
        </w:rPr>
        <w:t>三</w:t>
      </w:r>
      <w:r>
        <w:rPr>
          <w:rFonts w:hint="eastAsia"/>
          <w:color w:val="auto"/>
          <w:highlight w:val="none"/>
          <w:lang w:eastAsia="zh-CN"/>
        </w:rPr>
        <w:t>章 入市</w:t>
      </w:r>
      <w:r>
        <w:rPr>
          <w:rFonts w:hint="eastAsia"/>
          <w:color w:val="auto"/>
          <w:highlight w:val="none"/>
          <w:lang w:val="en-US" w:eastAsia="zh-CN"/>
        </w:rPr>
        <w:t>主体</w:t>
      </w:r>
    </w:p>
    <w:p w14:paraId="55173D14">
      <w:pPr>
        <w:pStyle w:val="5"/>
        <w:widowControl/>
        <w:rPr>
          <w:rFonts w:hint="eastAsia" w:ascii="仿宋_GB2312" w:hAnsi="仿宋_GB2312" w:eastAsia="仿宋_GB2312" w:cs="仿宋_GB2312"/>
          <w:color w:val="auto"/>
          <w:sz w:val="32"/>
          <w:highlight w:val="none"/>
        </w:rPr>
      </w:pPr>
      <w:r>
        <w:rPr>
          <w:rFonts w:hint="eastAsia" w:ascii="Calibri" w:hAnsi="Calibri" w:eastAsia="仿宋_GB2312" w:cs="Times New Roman"/>
          <w:b/>
          <w:color w:val="auto"/>
          <w:kern w:val="0"/>
          <w:sz w:val="32"/>
          <w:szCs w:val="20"/>
          <w:highlight w:val="none"/>
          <w:lang w:val="en-US" w:eastAsia="zh-CN" w:bidi="ar-SA"/>
        </w:rPr>
        <w:t>第</w:t>
      </w:r>
      <w:r>
        <w:rPr>
          <w:rFonts w:hint="eastAsia" w:cs="Times New Roman"/>
          <w:b/>
          <w:color w:val="auto"/>
          <w:kern w:val="0"/>
          <w:sz w:val="32"/>
          <w:szCs w:val="20"/>
          <w:highlight w:val="none"/>
          <w:lang w:val="en-US" w:eastAsia="zh-CN" w:bidi="ar-SA"/>
        </w:rPr>
        <w:t>九</w:t>
      </w:r>
      <w:r>
        <w:rPr>
          <w:rFonts w:hint="eastAsia" w:ascii="Calibri" w:hAnsi="Calibri" w:eastAsia="仿宋_GB2312" w:cs="Times New Roman"/>
          <w:b/>
          <w:color w:val="auto"/>
          <w:kern w:val="0"/>
          <w:sz w:val="32"/>
          <w:szCs w:val="20"/>
          <w:highlight w:val="none"/>
          <w:lang w:val="en-US" w:eastAsia="zh-CN" w:bidi="ar-SA"/>
        </w:rPr>
        <w:t>条</w:t>
      </w:r>
      <w:r>
        <w:rPr>
          <w:rFonts w:hint="eastAsia" w:cs="Times New Roman"/>
          <w:b/>
          <w:color w:val="auto"/>
          <w:kern w:val="0"/>
          <w:sz w:val="32"/>
          <w:szCs w:val="20"/>
          <w:highlight w:val="none"/>
          <w:lang w:val="en-US" w:eastAsia="zh-CN" w:bidi="ar-SA"/>
        </w:rPr>
        <w:t xml:space="preserve"> </w:t>
      </w:r>
      <w:r>
        <w:rPr>
          <w:rFonts w:hint="eastAsia" w:ascii="仿宋_GB2312" w:hAnsi="仿宋_GB2312" w:eastAsia="仿宋_GB2312" w:cs="仿宋_GB2312"/>
          <w:color w:val="auto"/>
          <w:sz w:val="32"/>
          <w:highlight w:val="none"/>
        </w:rPr>
        <w:t>农村集体经营性建设用地的入市主体为不动产登记确认的土地所有权人。其中属于村内两个以上农民集体所有的，由所涉及的集体经济组织代表集体共同行使所有权。</w:t>
      </w:r>
    </w:p>
    <w:p w14:paraId="41DF5587">
      <w:pPr>
        <w:pStyle w:val="5"/>
        <w:widowControl/>
        <w:rPr>
          <w:rFonts w:hint="default" w:ascii="Calibri" w:hAnsi="Calibri" w:eastAsia="仿宋_GB2312" w:cs="Times New Roman"/>
          <w:color w:val="auto"/>
          <w:sz w:val="32"/>
          <w:highlight w:val="none"/>
          <w:lang w:val="en-US" w:eastAsia="zh-CN"/>
        </w:rPr>
      </w:pPr>
      <w:r>
        <w:rPr>
          <w:rFonts w:hint="eastAsia" w:ascii="仿宋_GB2312" w:hAnsi="仿宋_GB2312" w:eastAsia="仿宋_GB2312" w:cs="仿宋_GB2312"/>
          <w:color w:val="auto"/>
          <w:sz w:val="32"/>
          <w:highlight w:val="none"/>
        </w:rPr>
        <w:t>各镇（街道）政府（办事处）应加强指导服务，集体经济组织可以委托授权具有市场法人资格的镇资产管理部门作为入市实施主体，依据授权委托书代理实施入市。其中，农村集体经营性建设用地属于镇（街道）政府（办事处）集体所有的，由各镇（街道）政府（办事处）委托授权镇级资产管理公司作为入市实施主体；属村集体所有的，经村集体经济组织村民会议三分之二以上成员或三分之二以上村民代表的同意后，</w:t>
      </w:r>
      <w:r>
        <w:rPr>
          <w:rFonts w:hint="eastAsia" w:ascii="仿宋_GB2312" w:hAnsi="仿宋_GB2312" w:eastAsia="仿宋_GB2312" w:cs="仿宋_GB2312"/>
          <w:color w:val="auto"/>
          <w:sz w:val="32"/>
          <w:highlight w:val="none"/>
          <w:lang w:eastAsia="zh-CN"/>
        </w:rPr>
        <w:t>由村集体经济组织作为实施主体，也可</w:t>
      </w:r>
      <w:r>
        <w:rPr>
          <w:rFonts w:hint="eastAsia" w:ascii="仿宋_GB2312" w:hAnsi="仿宋_GB2312" w:eastAsia="仿宋_GB2312" w:cs="仿宋_GB2312"/>
          <w:color w:val="auto"/>
          <w:sz w:val="32"/>
          <w:highlight w:val="none"/>
        </w:rPr>
        <w:t>委托镇级资产管理公司作为入市实施主体。</w:t>
      </w:r>
      <w:r>
        <w:rPr>
          <w:rFonts w:hint="eastAsia" w:ascii="仿宋_GB2312" w:hAnsi="仿宋_GB2312" w:eastAsia="仿宋_GB2312" w:cs="仿宋_GB2312"/>
          <w:color w:val="auto"/>
          <w:sz w:val="32"/>
          <w:highlight w:val="none"/>
          <w:lang w:val="en-US" w:eastAsia="zh-CN"/>
        </w:rPr>
        <w:t>涉及多个集体经济组织的，应明确收益分配比例及权责关系</w:t>
      </w:r>
      <w:r>
        <w:rPr>
          <w:rFonts w:hint="eastAsia" w:ascii="Calibri" w:hAnsi="Calibri" w:eastAsia="仿宋_GB2312" w:cs="Times New Roman"/>
          <w:color w:val="auto"/>
          <w:sz w:val="32"/>
          <w:highlight w:val="none"/>
          <w:lang w:val="en-US" w:eastAsia="zh-CN"/>
        </w:rPr>
        <w:t>。</w:t>
      </w:r>
    </w:p>
    <w:p w14:paraId="4EBCB6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both"/>
        <w:rPr>
          <w:rFonts w:hint="eastAsia" w:ascii="Calibri" w:hAnsi="Calibri" w:eastAsia="仿宋_GB2312" w:cs="Times New Roman"/>
          <w:color w:val="auto"/>
          <w:sz w:val="32"/>
          <w:highlight w:val="none"/>
          <w:lang w:eastAsia="zh-CN"/>
        </w:rPr>
      </w:pPr>
    </w:p>
    <w:p w14:paraId="373BCCB2">
      <w:pPr>
        <w:pStyle w:val="12"/>
        <w:widowControl/>
        <w:numPr>
          <w:ilvl w:val="0"/>
          <w:numId w:val="0"/>
        </w:numPr>
        <w:ind w:leftChars="0"/>
        <w:rPr>
          <w:rFonts w:hint="eastAsia"/>
          <w:color w:val="auto"/>
          <w:highlight w:val="none"/>
          <w:lang w:eastAsia="zh-CN"/>
        </w:rPr>
      </w:pPr>
      <w:r>
        <w:rPr>
          <w:rFonts w:hint="eastAsia"/>
          <w:color w:val="auto"/>
          <w:highlight w:val="none"/>
          <w:lang w:eastAsia="zh-CN"/>
        </w:rPr>
        <w:t>第</w:t>
      </w:r>
      <w:r>
        <w:rPr>
          <w:rFonts w:hint="eastAsia"/>
          <w:color w:val="auto"/>
          <w:highlight w:val="none"/>
          <w:lang w:val="en-US" w:eastAsia="zh-CN"/>
        </w:rPr>
        <w:t>四</w:t>
      </w:r>
      <w:r>
        <w:rPr>
          <w:rFonts w:hint="eastAsia"/>
          <w:color w:val="auto"/>
          <w:highlight w:val="none"/>
          <w:lang w:eastAsia="zh-CN"/>
        </w:rPr>
        <w:t>章 入市</w:t>
      </w:r>
      <w:r>
        <w:rPr>
          <w:rFonts w:hint="eastAsia"/>
          <w:color w:val="auto"/>
          <w:highlight w:val="none"/>
          <w:lang w:val="en-US" w:eastAsia="zh-CN"/>
        </w:rPr>
        <w:t>方式</w:t>
      </w:r>
    </w:p>
    <w:p w14:paraId="01CF6534">
      <w:pPr>
        <w:pStyle w:val="5"/>
        <w:widowControl/>
        <w:rPr>
          <w:rFonts w:ascii="Calibri" w:hAnsi="Calibri" w:eastAsia="仿宋_GB2312" w:cs="Times New Roman"/>
          <w:color w:val="auto"/>
          <w:sz w:val="32"/>
          <w:highlight w:val="none"/>
        </w:rPr>
      </w:pPr>
      <w:r>
        <w:rPr>
          <w:rFonts w:hint="eastAsia" w:ascii="Calibri" w:hAnsi="Calibri" w:eastAsia="仿宋_GB2312" w:cs="Times New Roman"/>
          <w:b/>
          <w:color w:val="auto"/>
          <w:sz w:val="32"/>
          <w:highlight w:val="none"/>
        </w:rPr>
        <w:t>第</w:t>
      </w:r>
      <w:r>
        <w:rPr>
          <w:rFonts w:hint="eastAsia" w:cs="Times New Roman"/>
          <w:b/>
          <w:color w:val="auto"/>
          <w:sz w:val="32"/>
          <w:highlight w:val="none"/>
          <w:lang w:val="en-US" w:eastAsia="zh-CN"/>
        </w:rPr>
        <w:t>十</w:t>
      </w:r>
      <w:r>
        <w:rPr>
          <w:rFonts w:hint="eastAsia" w:ascii="Calibri" w:hAnsi="Calibri" w:eastAsia="仿宋_GB2312" w:cs="Times New Roman"/>
          <w:b/>
          <w:color w:val="auto"/>
          <w:sz w:val="32"/>
          <w:highlight w:val="none"/>
        </w:rPr>
        <w:t xml:space="preserve">条 </w:t>
      </w:r>
      <w:r>
        <w:rPr>
          <w:rFonts w:ascii="Calibri" w:hAnsi="Calibri" w:eastAsia="仿宋_GB2312" w:cs="Times New Roman"/>
          <w:color w:val="auto"/>
          <w:sz w:val="32"/>
          <w:highlight w:val="none"/>
        </w:rPr>
        <w:t>农村集体经营性建设用地可按出让、出租、作价出资（入股）等有偿使用方式入市。</w:t>
      </w:r>
    </w:p>
    <w:p w14:paraId="67A738D3">
      <w:pPr>
        <w:pStyle w:val="5"/>
        <w:widowControl/>
        <w:rPr>
          <w:rFonts w:ascii="Calibri" w:hAnsi="Calibri" w:eastAsia="仿宋_GB2312" w:cs="Times New Roman"/>
          <w:color w:val="auto"/>
          <w:sz w:val="32"/>
          <w:highlight w:val="none"/>
        </w:rPr>
      </w:pPr>
      <w:r>
        <w:rPr>
          <w:rFonts w:ascii="Calibri" w:hAnsi="Calibri" w:eastAsia="仿宋_GB2312" w:cs="Times New Roman"/>
          <w:color w:val="auto"/>
          <w:sz w:val="32"/>
          <w:highlight w:val="none"/>
        </w:rPr>
        <w:t>以出让、出租、作价出资（入股）等方式入市的应当实行公开交易。除符合条件的低效用地再开发、原集体</w:t>
      </w:r>
      <w:r>
        <w:rPr>
          <w:rFonts w:hint="eastAsia" w:cs="Times New Roman"/>
          <w:color w:val="auto"/>
          <w:sz w:val="32"/>
          <w:highlight w:val="none"/>
          <w:lang w:val="en-US" w:eastAsia="zh-CN"/>
        </w:rPr>
        <w:t>调拨</w:t>
      </w:r>
      <w:r>
        <w:rPr>
          <w:rFonts w:ascii="Calibri" w:hAnsi="Calibri" w:eastAsia="仿宋_GB2312" w:cs="Times New Roman"/>
          <w:color w:val="auto"/>
          <w:sz w:val="32"/>
          <w:highlight w:val="none"/>
        </w:rPr>
        <w:t>等土地使用权人可以申请采取协议出让方式外，应当采取招标、拍卖、挂牌等方式确定土地使用权人。</w:t>
      </w:r>
    </w:p>
    <w:p w14:paraId="473C2232">
      <w:pPr>
        <w:pStyle w:val="5"/>
        <w:widowControl/>
        <w:rPr>
          <w:rFonts w:ascii="Calibri" w:hAnsi="Calibri" w:eastAsia="仿宋_GB2312" w:cs="Times New Roman"/>
          <w:color w:val="auto"/>
          <w:sz w:val="32"/>
          <w:highlight w:val="none"/>
        </w:rPr>
      </w:pPr>
      <w:r>
        <w:rPr>
          <w:rFonts w:ascii="Calibri" w:hAnsi="Calibri" w:eastAsia="仿宋_GB2312" w:cs="Times New Roman"/>
          <w:color w:val="auto"/>
          <w:sz w:val="32"/>
          <w:highlight w:val="none"/>
        </w:rPr>
        <w:t>农村集体经营性建设用地使用权以出让、作价出资（入股）方式入市的年限设定：工矿、仓储用地最高</w:t>
      </w:r>
      <w:r>
        <w:rPr>
          <w:rFonts w:hint="default" w:ascii="Times New Roman" w:hAnsi="Times New Roman" w:eastAsia="仿宋_GB2312" w:cs="Times New Roman"/>
          <w:color w:val="auto"/>
          <w:sz w:val="32"/>
          <w:highlight w:val="none"/>
        </w:rPr>
        <w:t xml:space="preserve"> 50</w:t>
      </w:r>
      <w:r>
        <w:rPr>
          <w:rFonts w:ascii="Calibri" w:hAnsi="Calibri" w:eastAsia="仿宋_GB2312" w:cs="Times New Roman"/>
          <w:color w:val="auto"/>
          <w:sz w:val="32"/>
          <w:highlight w:val="none"/>
        </w:rPr>
        <w:t xml:space="preserve"> 年，一般设定为</w:t>
      </w:r>
      <w:r>
        <w:rPr>
          <w:rFonts w:hint="default" w:ascii="Times New Roman" w:hAnsi="Times New Roman" w:eastAsia="仿宋_GB2312" w:cs="Times New Roman"/>
          <w:color w:val="auto"/>
          <w:sz w:val="32"/>
          <w:highlight w:val="none"/>
        </w:rPr>
        <w:t xml:space="preserve"> 30 </w:t>
      </w:r>
      <w:r>
        <w:rPr>
          <w:rFonts w:ascii="Calibri" w:hAnsi="Calibri" w:eastAsia="仿宋_GB2312" w:cs="Times New Roman"/>
          <w:color w:val="auto"/>
          <w:sz w:val="32"/>
          <w:highlight w:val="none"/>
        </w:rPr>
        <w:t xml:space="preserve">年；商服、旅游、娱乐等用地 </w:t>
      </w:r>
      <w:r>
        <w:rPr>
          <w:rFonts w:hint="default" w:ascii="Times New Roman" w:hAnsi="Times New Roman" w:eastAsia="仿宋_GB2312" w:cs="Times New Roman"/>
          <w:color w:val="auto"/>
          <w:sz w:val="32"/>
          <w:highlight w:val="none"/>
        </w:rPr>
        <w:t>40</w:t>
      </w:r>
      <w:r>
        <w:rPr>
          <w:rFonts w:ascii="Calibri" w:hAnsi="Calibri" w:eastAsia="仿宋_GB2312" w:cs="Times New Roman"/>
          <w:color w:val="auto"/>
          <w:sz w:val="32"/>
          <w:highlight w:val="none"/>
        </w:rPr>
        <w:t>年</w:t>
      </w:r>
      <w:r>
        <w:rPr>
          <w:rFonts w:hint="eastAsia" w:cs="Times New Roman"/>
          <w:color w:val="auto"/>
          <w:sz w:val="32"/>
          <w:highlight w:val="none"/>
          <w:lang w:eastAsia="zh-CN"/>
        </w:rPr>
        <w:t>；</w:t>
      </w:r>
      <w:r>
        <w:rPr>
          <w:rFonts w:ascii="Calibri" w:hAnsi="Calibri" w:eastAsia="仿宋_GB2312" w:cs="Times New Roman"/>
          <w:color w:val="auto"/>
          <w:sz w:val="32"/>
          <w:highlight w:val="none"/>
        </w:rPr>
        <w:t xml:space="preserve">其他经营性用途的教育、卫生、养老等用地 </w:t>
      </w:r>
      <w:r>
        <w:rPr>
          <w:rFonts w:hint="default" w:ascii="Times New Roman" w:hAnsi="Times New Roman" w:eastAsia="仿宋_GB2312" w:cs="Times New Roman"/>
          <w:color w:val="auto"/>
          <w:sz w:val="32"/>
          <w:highlight w:val="none"/>
        </w:rPr>
        <w:t>50</w:t>
      </w:r>
      <w:r>
        <w:rPr>
          <w:rFonts w:ascii="Calibri" w:hAnsi="Calibri" w:eastAsia="仿宋_GB2312" w:cs="Times New Roman"/>
          <w:color w:val="auto"/>
          <w:sz w:val="32"/>
          <w:highlight w:val="none"/>
        </w:rPr>
        <w:t xml:space="preserve"> 年</w:t>
      </w:r>
      <w:r>
        <w:rPr>
          <w:rFonts w:hint="eastAsia" w:cs="Times New Roman"/>
          <w:color w:val="auto"/>
          <w:sz w:val="32"/>
          <w:highlight w:val="none"/>
          <w:lang w:eastAsia="zh-CN"/>
        </w:rPr>
        <w:t>。</w:t>
      </w:r>
      <w:r>
        <w:rPr>
          <w:rFonts w:ascii="Calibri" w:hAnsi="Calibri" w:eastAsia="仿宋_GB2312" w:cs="Times New Roman"/>
          <w:color w:val="auto"/>
          <w:sz w:val="32"/>
          <w:highlight w:val="none"/>
        </w:rPr>
        <w:t xml:space="preserve">农村集体经营性建设用地使用权以出租方式入市的，出租期限不少于 </w:t>
      </w:r>
      <w:r>
        <w:rPr>
          <w:rFonts w:hint="default" w:ascii="Times New Roman" w:hAnsi="Times New Roman" w:eastAsia="仿宋_GB2312" w:cs="Times New Roman"/>
          <w:color w:val="auto"/>
          <w:sz w:val="32"/>
          <w:highlight w:val="none"/>
        </w:rPr>
        <w:t>5</w:t>
      </w:r>
      <w:r>
        <w:rPr>
          <w:rFonts w:ascii="Calibri" w:hAnsi="Calibri" w:eastAsia="仿宋_GB2312" w:cs="Times New Roman"/>
          <w:color w:val="auto"/>
          <w:sz w:val="32"/>
          <w:highlight w:val="none"/>
        </w:rPr>
        <w:t xml:space="preserve"> 年，不超过 </w:t>
      </w:r>
      <w:r>
        <w:rPr>
          <w:rFonts w:hint="default" w:ascii="Times New Roman" w:hAnsi="Times New Roman" w:eastAsia="仿宋_GB2312" w:cs="Times New Roman"/>
          <w:color w:val="auto"/>
          <w:sz w:val="32"/>
          <w:highlight w:val="none"/>
        </w:rPr>
        <w:t>20</w:t>
      </w:r>
      <w:r>
        <w:rPr>
          <w:rFonts w:ascii="Calibri" w:hAnsi="Calibri" w:eastAsia="仿宋_GB2312" w:cs="Times New Roman"/>
          <w:color w:val="auto"/>
          <w:sz w:val="32"/>
          <w:highlight w:val="none"/>
        </w:rPr>
        <w:t xml:space="preserve"> 年。</w:t>
      </w:r>
    </w:p>
    <w:p w14:paraId="192A1FC2">
      <w:pPr>
        <w:pStyle w:val="5"/>
        <w:widowControl/>
        <w:rPr>
          <w:rFonts w:ascii="Calibri" w:hAnsi="Calibri" w:eastAsia="仿宋_GB2312" w:cs="Times New Roman"/>
          <w:color w:val="auto"/>
          <w:sz w:val="32"/>
          <w:highlight w:val="none"/>
        </w:rPr>
      </w:pPr>
    </w:p>
    <w:p w14:paraId="65B52017">
      <w:pPr>
        <w:pStyle w:val="12"/>
        <w:widowControl/>
        <w:numPr>
          <w:ilvl w:val="0"/>
          <w:numId w:val="0"/>
        </w:numPr>
        <w:ind w:leftChars="0"/>
        <w:rPr>
          <w:rFonts w:hint="eastAsia" w:ascii="Calibri" w:hAnsi="Calibri" w:eastAsia="仿宋_GB2312" w:cs="Times New Roman"/>
          <w:b/>
          <w:color w:val="auto"/>
          <w:sz w:val="32"/>
          <w:highlight w:val="none"/>
        </w:rPr>
      </w:pPr>
      <w:r>
        <w:rPr>
          <w:rFonts w:hint="eastAsia"/>
          <w:color w:val="auto"/>
          <w:highlight w:val="none"/>
          <w:lang w:eastAsia="zh-CN"/>
        </w:rPr>
        <w:t>第</w:t>
      </w:r>
      <w:r>
        <w:rPr>
          <w:rFonts w:hint="eastAsia"/>
          <w:color w:val="auto"/>
          <w:highlight w:val="none"/>
          <w:lang w:val="en-US" w:eastAsia="zh-CN"/>
        </w:rPr>
        <w:t>五</w:t>
      </w:r>
      <w:r>
        <w:rPr>
          <w:rFonts w:hint="eastAsia"/>
          <w:color w:val="auto"/>
          <w:highlight w:val="none"/>
          <w:lang w:eastAsia="zh-CN"/>
        </w:rPr>
        <w:t>章 入市</w:t>
      </w:r>
      <w:r>
        <w:rPr>
          <w:rFonts w:hint="eastAsia"/>
          <w:color w:val="auto"/>
          <w:highlight w:val="none"/>
          <w:lang w:val="en-US" w:eastAsia="zh-CN"/>
        </w:rPr>
        <w:t>程序</w:t>
      </w:r>
    </w:p>
    <w:p w14:paraId="003DB385">
      <w:pPr>
        <w:pStyle w:val="5"/>
        <w:widowControl/>
        <w:rPr>
          <w:rFonts w:ascii="Calibri" w:hAnsi="Calibri" w:eastAsia="仿宋_GB2312" w:cs="Times New Roman"/>
          <w:color w:val="auto"/>
          <w:sz w:val="32"/>
          <w:highlight w:val="none"/>
        </w:rPr>
      </w:pPr>
      <w:r>
        <w:rPr>
          <w:rFonts w:hint="eastAsia" w:ascii="Calibri" w:hAnsi="Calibri" w:eastAsia="仿宋_GB2312" w:cs="Times New Roman"/>
          <w:b/>
          <w:color w:val="auto"/>
          <w:sz w:val="32"/>
          <w:highlight w:val="none"/>
          <w:lang w:val="en-US" w:eastAsia="zh-CN"/>
        </w:rPr>
        <w:t>第十</w:t>
      </w:r>
      <w:r>
        <w:rPr>
          <w:rFonts w:hint="eastAsia" w:cs="Times New Roman"/>
          <w:b/>
          <w:color w:val="auto"/>
          <w:sz w:val="32"/>
          <w:highlight w:val="none"/>
          <w:lang w:val="en-US" w:eastAsia="zh-CN"/>
        </w:rPr>
        <w:t>一</w:t>
      </w:r>
      <w:r>
        <w:rPr>
          <w:rFonts w:hint="eastAsia" w:ascii="Calibri" w:hAnsi="Calibri" w:eastAsia="仿宋_GB2312" w:cs="Times New Roman"/>
          <w:b/>
          <w:color w:val="auto"/>
          <w:sz w:val="32"/>
          <w:highlight w:val="none"/>
          <w:lang w:val="en-US" w:eastAsia="zh-CN"/>
        </w:rPr>
        <w:t>条</w:t>
      </w:r>
      <w:r>
        <w:rPr>
          <w:rFonts w:hint="eastAsia" w:cs="Times New Roman"/>
          <w:b/>
          <w:color w:val="auto"/>
          <w:sz w:val="32"/>
          <w:highlight w:val="none"/>
          <w:lang w:val="en-US" w:eastAsia="zh-CN"/>
        </w:rPr>
        <w:t xml:space="preserve"> </w:t>
      </w:r>
      <w:r>
        <w:rPr>
          <w:rFonts w:ascii="Calibri" w:hAnsi="Calibri" w:eastAsia="仿宋_GB2312" w:cs="Times New Roman"/>
          <w:color w:val="auto"/>
          <w:sz w:val="32"/>
          <w:highlight w:val="none"/>
        </w:rPr>
        <w:t>农村集体经营性建设用地入市前，应达到土地供应条件，完成拟入市地块勘测定界，依法取得区</w:t>
      </w:r>
      <w:r>
        <w:rPr>
          <w:rFonts w:hint="eastAsia" w:ascii="Calibri" w:hAnsi="Calibri" w:eastAsia="仿宋_GB2312" w:cs="Times New Roman"/>
          <w:color w:val="auto"/>
          <w:sz w:val="32"/>
          <w:highlight w:val="none"/>
          <w:lang w:val="en-US" w:eastAsia="zh-CN"/>
        </w:rPr>
        <w:t>资规分局</w:t>
      </w:r>
      <w:r>
        <w:rPr>
          <w:rFonts w:ascii="Calibri" w:hAnsi="Calibri" w:eastAsia="仿宋_GB2312" w:cs="Times New Roman"/>
          <w:color w:val="auto"/>
          <w:sz w:val="32"/>
          <w:highlight w:val="none"/>
        </w:rPr>
        <w:t>核定的规划条件，包括拟入市地块的位置、面积、规划用途、开发强度、配套设施等要求，根据基准地价、标定地价等法定公示地价，参考土地估价专业评估机构的评估结果，确定入市底价或出让起始价。入市底价不得低于所在片区土地取得的各项客观成本费用之和。</w:t>
      </w:r>
    </w:p>
    <w:p w14:paraId="0DC212A3">
      <w:pPr>
        <w:pStyle w:val="5"/>
        <w:widowControl/>
        <w:rPr>
          <w:rFonts w:ascii="Calibri" w:hAnsi="Calibri" w:eastAsia="仿宋_GB2312" w:cs="Times New Roman"/>
          <w:b/>
          <w:color w:val="auto"/>
          <w:sz w:val="32"/>
          <w:highlight w:val="none"/>
        </w:rPr>
      </w:pPr>
      <w:r>
        <w:rPr>
          <w:rFonts w:hint="eastAsia" w:ascii="Calibri" w:hAnsi="Calibri" w:eastAsia="仿宋_GB2312" w:cs="Times New Roman"/>
          <w:b/>
          <w:color w:val="auto"/>
          <w:sz w:val="32"/>
          <w:highlight w:val="none"/>
          <w:lang w:val="en-US" w:eastAsia="zh-CN"/>
        </w:rPr>
        <w:t>第十</w:t>
      </w:r>
      <w:r>
        <w:rPr>
          <w:rFonts w:hint="eastAsia" w:cs="Times New Roman"/>
          <w:b/>
          <w:color w:val="auto"/>
          <w:sz w:val="32"/>
          <w:highlight w:val="none"/>
          <w:lang w:val="en-US" w:eastAsia="zh-CN"/>
        </w:rPr>
        <w:t>二</w:t>
      </w:r>
      <w:r>
        <w:rPr>
          <w:rFonts w:hint="eastAsia" w:ascii="Calibri" w:hAnsi="Calibri" w:eastAsia="仿宋_GB2312" w:cs="Times New Roman"/>
          <w:b/>
          <w:color w:val="auto"/>
          <w:sz w:val="32"/>
          <w:highlight w:val="none"/>
          <w:lang w:val="en-US" w:eastAsia="zh-CN"/>
        </w:rPr>
        <w:t>条</w:t>
      </w:r>
      <w:r>
        <w:rPr>
          <w:rFonts w:hint="eastAsia" w:cs="Times New Roman"/>
          <w:b/>
          <w:color w:val="auto"/>
          <w:sz w:val="32"/>
          <w:highlight w:val="none"/>
          <w:lang w:val="en-US" w:eastAsia="zh-CN"/>
        </w:rPr>
        <w:t xml:space="preserve"> </w:t>
      </w:r>
      <w:r>
        <w:rPr>
          <w:rFonts w:ascii="Calibri" w:hAnsi="Calibri" w:eastAsia="仿宋_GB2312" w:cs="Times New Roman"/>
          <w:color w:val="auto"/>
          <w:sz w:val="32"/>
          <w:highlight w:val="none"/>
        </w:rPr>
        <w:t>入市实施主体依据规划条件，编制入市方案。入市方案须由村党支部会议提议、村</w:t>
      </w:r>
      <w:r>
        <w:rPr>
          <w:rFonts w:hint="eastAsia" w:ascii="Calibri" w:hAnsi="Calibri" w:eastAsia="仿宋_GB2312" w:cs="Times New Roman"/>
          <w:color w:val="auto"/>
          <w:sz w:val="32"/>
          <w:highlight w:val="none"/>
          <w:lang w:eastAsia="zh-CN"/>
        </w:rPr>
        <w:t>“</w:t>
      </w:r>
      <w:r>
        <w:rPr>
          <w:rFonts w:ascii="Calibri" w:hAnsi="Calibri" w:eastAsia="仿宋_GB2312" w:cs="Times New Roman"/>
          <w:color w:val="auto"/>
          <w:sz w:val="32"/>
          <w:highlight w:val="none"/>
        </w:rPr>
        <w:t>两委</w:t>
      </w:r>
      <w:r>
        <w:rPr>
          <w:rFonts w:hint="eastAsia" w:ascii="Calibri" w:hAnsi="Calibri" w:eastAsia="仿宋_GB2312" w:cs="Times New Roman"/>
          <w:color w:val="auto"/>
          <w:sz w:val="32"/>
          <w:highlight w:val="none"/>
          <w:lang w:eastAsia="zh-CN"/>
        </w:rPr>
        <w:t>”</w:t>
      </w:r>
      <w:r>
        <w:rPr>
          <w:rFonts w:ascii="Calibri" w:hAnsi="Calibri" w:eastAsia="仿宋_GB2312" w:cs="Times New Roman"/>
          <w:color w:val="auto"/>
          <w:sz w:val="32"/>
          <w:highlight w:val="none"/>
        </w:rPr>
        <w:t>商议，在本集体经济组织所在地公示无异议后，依法形成《农村集体经营性建设用地入市决议》。农村集体经营性建设用地所有权属村集体的，使用权入市应由本村集体经济组织村民会议三分之二以上成员或者三分之二以上村民代表同意。农村集体经营性建设用地所有权属镇（街道）集体的，使用权入市事项须经镇（街道）党委会议集体研究决定。</w:t>
      </w:r>
    </w:p>
    <w:p w14:paraId="60DE1B30">
      <w:pPr>
        <w:pStyle w:val="5"/>
        <w:widowControl/>
        <w:rPr>
          <w:rFonts w:ascii="Calibri" w:hAnsi="Calibri" w:eastAsia="仿宋_GB2312" w:cs="Times New Roman"/>
          <w:color w:val="auto"/>
          <w:sz w:val="32"/>
          <w:highlight w:val="none"/>
        </w:rPr>
      </w:pPr>
      <w:r>
        <w:rPr>
          <w:rFonts w:ascii="Calibri" w:hAnsi="Calibri" w:eastAsia="仿宋_GB2312" w:cs="Times New Roman"/>
          <w:color w:val="auto"/>
          <w:sz w:val="32"/>
          <w:highlight w:val="none"/>
        </w:rPr>
        <w:t>入市决议应包括：</w:t>
      </w:r>
    </w:p>
    <w:p w14:paraId="1D202C8E">
      <w:pPr>
        <w:pStyle w:val="5"/>
        <w:widowControl/>
        <w:rPr>
          <w:rFonts w:hint="eastAsia" w:ascii="Calibri" w:hAnsi="Calibri" w:eastAsia="仿宋_GB2312" w:cs="Times New Roman"/>
          <w:color w:val="auto"/>
          <w:sz w:val="32"/>
          <w:highlight w:val="none"/>
        </w:rPr>
      </w:pPr>
      <w:r>
        <w:rPr>
          <w:rFonts w:hint="eastAsia" w:ascii="Calibri" w:hAnsi="Calibri" w:eastAsia="仿宋_GB2312" w:cs="Times New Roman"/>
          <w:color w:val="auto"/>
          <w:sz w:val="32"/>
          <w:highlight w:val="none"/>
          <w:lang w:eastAsia="zh-CN"/>
        </w:rPr>
        <w:t>（一）</w:t>
      </w:r>
      <w:r>
        <w:rPr>
          <w:rFonts w:ascii="Calibri" w:hAnsi="Calibri" w:eastAsia="仿宋_GB2312" w:cs="Times New Roman"/>
          <w:color w:val="auto"/>
          <w:sz w:val="32"/>
          <w:highlight w:val="none"/>
        </w:rPr>
        <w:t>农村集体经营性建设用地所有权人、地块位置、四至范围、宗地面积、开发用途等（宗地内有建筑物，符合规划、房屋质量、消防安全要求可保留的，一并入市）；</w:t>
      </w:r>
    </w:p>
    <w:p w14:paraId="70D44D88">
      <w:pPr>
        <w:pStyle w:val="5"/>
        <w:widowControl/>
        <w:rPr>
          <w:rFonts w:hint="eastAsia" w:ascii="Calibri" w:hAnsi="Calibri" w:eastAsia="仿宋_GB2312" w:cs="Times New Roman"/>
          <w:color w:val="auto"/>
          <w:sz w:val="32"/>
          <w:highlight w:val="none"/>
        </w:rPr>
      </w:pPr>
      <w:r>
        <w:rPr>
          <w:rFonts w:hint="eastAsia" w:ascii="Calibri" w:hAnsi="Calibri" w:eastAsia="仿宋_GB2312" w:cs="Times New Roman"/>
          <w:color w:val="auto"/>
          <w:sz w:val="32"/>
          <w:highlight w:val="none"/>
          <w:lang w:eastAsia="zh-CN"/>
        </w:rPr>
        <w:t>（二）</w:t>
      </w:r>
      <w:r>
        <w:rPr>
          <w:rFonts w:ascii="Calibri" w:hAnsi="Calibri" w:eastAsia="仿宋_GB2312" w:cs="Times New Roman"/>
          <w:color w:val="auto"/>
          <w:sz w:val="32"/>
          <w:highlight w:val="none"/>
        </w:rPr>
        <w:t>农村集体经营性建设用地入市有偿使用方式、交易形式、使用年限、交易底价、支付方式；</w:t>
      </w:r>
    </w:p>
    <w:p w14:paraId="05754F93">
      <w:pPr>
        <w:pStyle w:val="5"/>
        <w:widowControl/>
        <w:rPr>
          <w:rFonts w:hint="eastAsia" w:ascii="Calibri" w:hAnsi="Calibri" w:eastAsia="仿宋_GB2312" w:cs="Times New Roman"/>
          <w:color w:val="auto"/>
          <w:sz w:val="32"/>
          <w:highlight w:val="none"/>
        </w:rPr>
      </w:pPr>
      <w:r>
        <w:rPr>
          <w:rFonts w:hint="eastAsia" w:ascii="Calibri" w:hAnsi="Calibri" w:eastAsia="仿宋_GB2312" w:cs="Times New Roman"/>
          <w:color w:val="auto"/>
          <w:sz w:val="32"/>
          <w:highlight w:val="none"/>
          <w:lang w:eastAsia="zh-CN"/>
        </w:rPr>
        <w:t>（三）</w:t>
      </w:r>
      <w:r>
        <w:rPr>
          <w:rFonts w:ascii="Calibri" w:hAnsi="Calibri" w:eastAsia="仿宋_GB2312" w:cs="Times New Roman"/>
          <w:color w:val="auto"/>
          <w:sz w:val="32"/>
          <w:highlight w:val="none"/>
        </w:rPr>
        <w:t>农村集体经营性建设用地入市双方的权利义务及违约责任；</w:t>
      </w:r>
    </w:p>
    <w:p w14:paraId="4A127044">
      <w:pPr>
        <w:pStyle w:val="5"/>
        <w:widowControl/>
        <w:rPr>
          <w:rFonts w:hint="eastAsia" w:ascii="Calibri" w:hAnsi="Calibri" w:eastAsia="仿宋_GB2312" w:cs="Times New Roman"/>
          <w:color w:val="auto"/>
          <w:sz w:val="32"/>
          <w:highlight w:val="none"/>
        </w:rPr>
      </w:pPr>
      <w:r>
        <w:rPr>
          <w:rFonts w:hint="eastAsia" w:ascii="Calibri" w:hAnsi="Calibri" w:eastAsia="仿宋_GB2312" w:cs="Times New Roman"/>
          <w:color w:val="auto"/>
          <w:sz w:val="32"/>
          <w:highlight w:val="none"/>
          <w:lang w:eastAsia="zh-CN"/>
        </w:rPr>
        <w:t>（四）</w:t>
      </w:r>
      <w:r>
        <w:rPr>
          <w:rFonts w:ascii="Calibri" w:hAnsi="Calibri" w:eastAsia="仿宋_GB2312" w:cs="Times New Roman"/>
          <w:color w:val="auto"/>
          <w:sz w:val="32"/>
          <w:highlight w:val="none"/>
        </w:rPr>
        <w:t>农村集体经营性建设用地入市收益分配方案；</w:t>
      </w:r>
    </w:p>
    <w:p w14:paraId="1715C7D2">
      <w:pPr>
        <w:pStyle w:val="5"/>
        <w:widowControl/>
        <w:rPr>
          <w:rFonts w:hint="eastAsia" w:ascii="Calibri" w:hAnsi="Calibri" w:eastAsia="仿宋_GB2312" w:cs="Times New Roman"/>
          <w:color w:val="auto"/>
          <w:sz w:val="32"/>
          <w:highlight w:val="none"/>
        </w:rPr>
      </w:pPr>
      <w:r>
        <w:rPr>
          <w:rFonts w:hint="eastAsia" w:ascii="Calibri" w:hAnsi="Calibri" w:eastAsia="仿宋_GB2312" w:cs="Times New Roman"/>
          <w:color w:val="auto"/>
          <w:sz w:val="32"/>
          <w:highlight w:val="none"/>
          <w:lang w:eastAsia="zh-CN"/>
        </w:rPr>
        <w:t>（五）</w:t>
      </w:r>
      <w:r>
        <w:rPr>
          <w:rFonts w:ascii="Calibri" w:hAnsi="Calibri" w:eastAsia="仿宋_GB2312" w:cs="Times New Roman"/>
          <w:color w:val="auto"/>
          <w:sz w:val="32"/>
          <w:highlight w:val="none"/>
        </w:rPr>
        <w:t>其他需要集体决策的内容。</w:t>
      </w:r>
    </w:p>
    <w:p w14:paraId="5062E304">
      <w:pPr>
        <w:pStyle w:val="5"/>
        <w:widowControl/>
        <w:rPr>
          <w:rFonts w:hint="default" w:ascii="Calibri" w:hAnsi="Calibri" w:eastAsia="仿宋_GB2312" w:cs="Times New Roman"/>
          <w:color w:val="auto"/>
          <w:sz w:val="32"/>
          <w:highlight w:val="none"/>
          <w:lang w:val="en-US" w:eastAsia="zh-CN"/>
        </w:rPr>
      </w:pPr>
      <w:r>
        <w:rPr>
          <w:rFonts w:ascii="Calibri" w:hAnsi="Calibri" w:eastAsia="仿宋_GB2312" w:cs="Times New Roman"/>
          <w:color w:val="auto"/>
          <w:sz w:val="32"/>
          <w:highlight w:val="none"/>
        </w:rPr>
        <w:t>农村集体经营性建设用地入市决议应进行公示，公示期限不少于五天。</w:t>
      </w:r>
      <w:r>
        <w:rPr>
          <w:rFonts w:hint="eastAsia" w:ascii="Calibri" w:hAnsi="Calibri" w:eastAsia="仿宋_GB2312" w:cs="Times New Roman"/>
          <w:color w:val="auto"/>
          <w:sz w:val="32"/>
          <w:highlight w:val="none"/>
          <w:lang w:val="en-US" w:eastAsia="zh-CN"/>
        </w:rPr>
        <w:t>对公示期间提出的异议，应依法组织核查并反馈处理结果。</w:t>
      </w:r>
    </w:p>
    <w:p w14:paraId="5653002E">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b/>
          <w:color w:val="auto"/>
          <w:sz w:val="32"/>
          <w:highlight w:val="none"/>
          <w:lang w:val="en-US" w:eastAsia="zh-CN"/>
        </w:rPr>
        <w:t>第十</w:t>
      </w:r>
      <w:r>
        <w:rPr>
          <w:rFonts w:hint="eastAsia" w:cs="Times New Roman"/>
          <w:b/>
          <w:color w:val="auto"/>
          <w:sz w:val="32"/>
          <w:highlight w:val="none"/>
          <w:lang w:val="en-US" w:eastAsia="zh-CN"/>
        </w:rPr>
        <w:t>三</w:t>
      </w:r>
      <w:r>
        <w:rPr>
          <w:rFonts w:hint="eastAsia" w:ascii="Calibri" w:hAnsi="Calibri" w:eastAsia="仿宋_GB2312" w:cs="Times New Roman"/>
          <w:b/>
          <w:color w:val="auto"/>
          <w:sz w:val="32"/>
          <w:highlight w:val="none"/>
          <w:lang w:val="en-US" w:eastAsia="zh-CN"/>
        </w:rPr>
        <w:t>条</w:t>
      </w:r>
      <w:r>
        <w:rPr>
          <w:rFonts w:hint="eastAsia" w:cs="Times New Roman"/>
          <w:color w:val="auto"/>
          <w:sz w:val="32"/>
          <w:highlight w:val="none"/>
          <w:lang w:val="en-US" w:eastAsia="zh-CN"/>
        </w:rPr>
        <w:t xml:space="preserve"> </w:t>
      </w:r>
      <w:r>
        <w:rPr>
          <w:rFonts w:hint="eastAsia" w:ascii="Calibri" w:hAnsi="Calibri" w:eastAsia="仿宋_GB2312" w:cs="Times New Roman"/>
          <w:color w:val="auto"/>
          <w:sz w:val="32"/>
          <w:highlight w:val="none"/>
          <w:lang w:eastAsia="zh-CN"/>
        </w:rPr>
        <w:t>入市实施主体向区</w:t>
      </w:r>
      <w:r>
        <w:rPr>
          <w:rFonts w:hint="eastAsia" w:cs="Times New Roman"/>
          <w:color w:val="auto"/>
          <w:sz w:val="32"/>
          <w:highlight w:val="none"/>
          <w:lang w:val="en-US" w:eastAsia="zh-CN"/>
        </w:rPr>
        <w:t>资规分局</w:t>
      </w:r>
      <w:r>
        <w:rPr>
          <w:rFonts w:hint="eastAsia" w:ascii="Calibri" w:hAnsi="Calibri" w:eastAsia="仿宋_GB2312" w:cs="Times New Roman"/>
          <w:color w:val="auto"/>
          <w:sz w:val="32"/>
          <w:highlight w:val="none"/>
          <w:lang w:eastAsia="zh-CN"/>
        </w:rPr>
        <w:t>提出入市申请。申请资料应包括：</w:t>
      </w:r>
    </w:p>
    <w:p w14:paraId="696E6C90">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（一）入市申请书；</w:t>
      </w:r>
    </w:p>
    <w:p w14:paraId="5E463FD3">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（二）《农村集体经营性建设用地使用权入市方案》；</w:t>
      </w:r>
    </w:p>
    <w:p w14:paraId="0DDD22B5">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（三）《农村集体经营性建设用地使用权入市决议》；</w:t>
      </w:r>
    </w:p>
    <w:p w14:paraId="79F1AA66">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（四）土地所有权证明材料；</w:t>
      </w:r>
    </w:p>
    <w:p w14:paraId="21D9C9D6">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（五）所在镇（街道）初审意见</w:t>
      </w:r>
      <w:r>
        <w:rPr>
          <w:rFonts w:hint="eastAsia" w:cs="Times New Roman"/>
          <w:color w:val="auto"/>
          <w:sz w:val="32"/>
          <w:highlight w:val="none"/>
          <w:lang w:eastAsia="zh-CN"/>
        </w:rPr>
        <w:t>；</w:t>
      </w:r>
    </w:p>
    <w:p w14:paraId="0F8CCE41">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（六）投资发展监管协议；</w:t>
      </w:r>
    </w:p>
    <w:p w14:paraId="59C01921">
      <w:pPr>
        <w:pStyle w:val="5"/>
        <w:widowControl/>
        <w:rPr>
          <w:rFonts w:ascii="Calibri" w:hAnsi="Calibri" w:eastAsia="仿宋_GB2312" w:cs="Times New Roman"/>
          <w:color w:val="auto"/>
          <w:sz w:val="32"/>
          <w:highlight w:val="none"/>
        </w:rPr>
      </w:pPr>
      <w:r>
        <w:rPr>
          <w:rFonts w:hint="eastAsia" w:ascii="Calibri" w:hAnsi="Calibri" w:eastAsia="仿宋_GB2312" w:cs="Times New Roman"/>
          <w:color w:val="auto"/>
          <w:sz w:val="32"/>
          <w:highlight w:val="none"/>
          <w:lang w:eastAsia="zh-CN"/>
        </w:rPr>
        <w:t>（七）其他需要提供的资料。</w:t>
      </w:r>
    </w:p>
    <w:p w14:paraId="24956CCB">
      <w:pPr>
        <w:pStyle w:val="5"/>
        <w:widowControl/>
        <w:rPr>
          <w:rFonts w:ascii="Calibri" w:hAnsi="Calibri" w:eastAsia="仿宋_GB2312" w:cs="Times New Roman"/>
          <w:b/>
          <w:color w:val="auto"/>
          <w:sz w:val="32"/>
          <w:highlight w:val="none"/>
        </w:rPr>
      </w:pPr>
      <w:r>
        <w:rPr>
          <w:rFonts w:hint="eastAsia" w:ascii="Calibri" w:hAnsi="Calibri" w:eastAsia="仿宋_GB2312" w:cs="Times New Roman"/>
          <w:b/>
          <w:color w:val="auto"/>
          <w:sz w:val="32"/>
          <w:highlight w:val="none"/>
          <w:lang w:val="en-US" w:eastAsia="zh-CN"/>
        </w:rPr>
        <w:t>第十</w:t>
      </w:r>
      <w:r>
        <w:rPr>
          <w:rFonts w:hint="eastAsia" w:cs="Times New Roman"/>
          <w:b/>
          <w:color w:val="auto"/>
          <w:sz w:val="32"/>
          <w:highlight w:val="none"/>
          <w:lang w:val="en-US" w:eastAsia="zh-CN"/>
        </w:rPr>
        <w:t>四</w:t>
      </w:r>
      <w:r>
        <w:rPr>
          <w:rFonts w:hint="eastAsia" w:ascii="Calibri" w:hAnsi="Calibri" w:eastAsia="仿宋_GB2312" w:cs="Times New Roman"/>
          <w:b/>
          <w:color w:val="auto"/>
          <w:sz w:val="32"/>
          <w:highlight w:val="none"/>
          <w:lang w:val="en-US" w:eastAsia="zh-CN"/>
        </w:rPr>
        <w:t>条</w:t>
      </w:r>
      <w:r>
        <w:rPr>
          <w:rFonts w:hint="eastAsia" w:cs="Times New Roman"/>
          <w:b/>
          <w:color w:val="auto"/>
          <w:sz w:val="32"/>
          <w:highlight w:val="none"/>
          <w:lang w:val="en-US" w:eastAsia="zh-CN"/>
        </w:rPr>
        <w:t xml:space="preserve"> </w:t>
      </w:r>
      <w:r>
        <w:rPr>
          <w:rFonts w:ascii="Calibri" w:hAnsi="Calibri" w:eastAsia="仿宋_GB2312" w:cs="Times New Roman"/>
          <w:color w:val="auto"/>
          <w:sz w:val="32"/>
          <w:highlight w:val="none"/>
        </w:rPr>
        <w:t>各部门按照职责，对以下内容进行审核：</w:t>
      </w:r>
    </w:p>
    <w:p w14:paraId="3AA9B6C2">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（一）</w:t>
      </w:r>
      <w:r>
        <w:rPr>
          <w:rFonts w:hint="eastAsia" w:ascii="Calibri" w:hAnsi="Calibri" w:eastAsia="仿宋_GB2312" w:cs="Times New Roman"/>
          <w:color w:val="auto"/>
          <w:sz w:val="32"/>
          <w:highlight w:val="none"/>
          <w:lang w:val="en-US" w:eastAsia="zh-CN"/>
        </w:rPr>
        <w:t>相城</w:t>
      </w:r>
      <w:r>
        <w:rPr>
          <w:rFonts w:hint="eastAsia" w:ascii="Calibri" w:hAnsi="Calibri" w:eastAsia="仿宋_GB2312" w:cs="Times New Roman"/>
          <w:color w:val="auto"/>
          <w:sz w:val="32"/>
          <w:highlight w:val="none"/>
          <w:lang w:eastAsia="zh-CN"/>
        </w:rPr>
        <w:t>生态环境局审核是否符合环保准入要求；</w:t>
      </w:r>
    </w:p>
    <w:p w14:paraId="4F071F3D">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（二）区发改委、</w:t>
      </w:r>
      <w:r>
        <w:rPr>
          <w:rFonts w:hint="eastAsia" w:ascii="Calibri" w:hAnsi="Calibri" w:eastAsia="仿宋_GB2312" w:cs="Times New Roman"/>
          <w:color w:val="auto"/>
          <w:sz w:val="32"/>
          <w:highlight w:val="none"/>
          <w:lang w:val="en-US" w:eastAsia="zh-CN"/>
        </w:rPr>
        <w:t>数据局</w:t>
      </w:r>
      <w:r>
        <w:rPr>
          <w:rFonts w:hint="eastAsia" w:ascii="Calibri" w:hAnsi="Calibri" w:eastAsia="仿宋_GB2312" w:cs="Times New Roman"/>
          <w:color w:val="auto"/>
          <w:sz w:val="32"/>
          <w:highlight w:val="none"/>
          <w:lang w:eastAsia="zh-CN"/>
        </w:rPr>
        <w:t>等相关部门依据相关产业政策，对项目性质进行审查；</w:t>
      </w:r>
    </w:p>
    <w:p w14:paraId="3662B0F4">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（三）区农业农村局负责审核入市</w:t>
      </w:r>
      <w:r>
        <w:rPr>
          <w:rFonts w:hint="eastAsia" w:ascii="Calibri" w:hAnsi="Calibri" w:eastAsia="仿宋_GB2312" w:cs="Times New Roman"/>
          <w:color w:val="auto"/>
          <w:sz w:val="32"/>
          <w:highlight w:val="none"/>
          <w:lang w:val="en-US" w:eastAsia="zh-CN"/>
        </w:rPr>
        <w:t>净</w:t>
      </w:r>
      <w:r>
        <w:rPr>
          <w:rFonts w:hint="eastAsia" w:ascii="Calibri" w:hAnsi="Calibri" w:eastAsia="仿宋_GB2312" w:cs="Times New Roman"/>
          <w:color w:val="auto"/>
          <w:sz w:val="32"/>
          <w:highlight w:val="none"/>
          <w:lang w:eastAsia="zh-CN"/>
        </w:rPr>
        <w:t>收益分配方案；</w:t>
      </w:r>
    </w:p>
    <w:p w14:paraId="38D51EA5">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（四）区住建局负责审核涉及地上建筑物项目是否符合质量及</w:t>
      </w:r>
      <w:r>
        <w:rPr>
          <w:rFonts w:hint="eastAsia" w:ascii="Calibri" w:hAnsi="Calibri" w:eastAsia="仿宋_GB2312" w:cs="Times New Roman"/>
          <w:color w:val="auto"/>
          <w:sz w:val="32"/>
          <w:highlight w:val="none"/>
          <w:lang w:val="en-US" w:eastAsia="zh-CN"/>
        </w:rPr>
        <w:t>消防要求</w:t>
      </w:r>
      <w:r>
        <w:rPr>
          <w:rFonts w:hint="eastAsia" w:ascii="Calibri" w:hAnsi="Calibri" w:eastAsia="仿宋_GB2312" w:cs="Times New Roman"/>
          <w:color w:val="auto"/>
          <w:sz w:val="32"/>
          <w:highlight w:val="none"/>
          <w:lang w:eastAsia="zh-CN"/>
        </w:rPr>
        <w:t>；</w:t>
      </w:r>
    </w:p>
    <w:p w14:paraId="610AED53">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（五）区</w:t>
      </w:r>
      <w:r>
        <w:rPr>
          <w:rFonts w:hint="eastAsia" w:ascii="Calibri" w:hAnsi="Calibri" w:eastAsia="仿宋_GB2312" w:cs="Times New Roman"/>
          <w:color w:val="auto"/>
          <w:sz w:val="32"/>
          <w:highlight w:val="none"/>
          <w:lang w:val="en-US" w:eastAsia="zh-CN"/>
        </w:rPr>
        <w:t>资规分</w:t>
      </w:r>
      <w:r>
        <w:rPr>
          <w:rFonts w:hint="eastAsia" w:ascii="Calibri" w:hAnsi="Calibri" w:eastAsia="仿宋_GB2312" w:cs="Times New Roman"/>
          <w:color w:val="auto"/>
          <w:sz w:val="32"/>
          <w:highlight w:val="none"/>
          <w:lang w:eastAsia="zh-CN"/>
        </w:rPr>
        <w:t>局审核权属、地类、面积、规划要求；</w:t>
      </w:r>
    </w:p>
    <w:p w14:paraId="34DACF89">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（六）镇（街道）负责审核集体经济组织民主决策程序的合规性；</w:t>
      </w:r>
    </w:p>
    <w:p w14:paraId="091E8FA2">
      <w:pPr>
        <w:pStyle w:val="5"/>
        <w:widowControl/>
        <w:rPr>
          <w:rFonts w:hint="eastAsia" w:ascii="Calibri" w:hAnsi="Calibri" w:eastAsia="仿宋_GB2312" w:cs="Times New Roman"/>
          <w:color w:val="auto"/>
          <w:sz w:val="32"/>
          <w:highlight w:val="none"/>
          <w:lang w:eastAsia="zh-CN"/>
        </w:rPr>
      </w:pPr>
      <w:r>
        <w:rPr>
          <w:rFonts w:hint="eastAsia" w:ascii="Calibri" w:hAnsi="Calibri" w:eastAsia="仿宋_GB2312" w:cs="Times New Roman"/>
          <w:color w:val="auto"/>
          <w:sz w:val="32"/>
          <w:highlight w:val="none"/>
          <w:lang w:eastAsia="zh-CN"/>
        </w:rPr>
        <w:t>（七）其他部门负责根据各自职能审核拟入市地块和供地项目是否符合相关要求。</w:t>
      </w:r>
    </w:p>
    <w:p w14:paraId="0FC1EF00">
      <w:pPr>
        <w:pStyle w:val="5"/>
        <w:widowControl/>
        <w:rPr>
          <w:rFonts w:ascii="Calibri" w:hAnsi="Calibri" w:eastAsia="仿宋_GB2312" w:cs="Times New Roman"/>
          <w:color w:val="auto"/>
          <w:sz w:val="32"/>
          <w:highlight w:val="none"/>
        </w:rPr>
      </w:pPr>
      <w:r>
        <w:rPr>
          <w:rFonts w:hint="eastAsia" w:ascii="Calibri" w:hAnsi="Calibri" w:eastAsia="仿宋_GB2312" w:cs="Times New Roman"/>
          <w:color w:val="auto"/>
          <w:sz w:val="32"/>
          <w:highlight w:val="none"/>
          <w:lang w:eastAsia="zh-CN"/>
        </w:rPr>
        <w:t>审核通过后，形成入市审核意见逐级上报相城区人民政府、苏州市自然资源和规划局、苏州市政府，经苏州市政府批准后方能组织入市工作</w:t>
      </w:r>
      <w:r>
        <w:rPr>
          <w:rFonts w:ascii="Calibri" w:hAnsi="Calibri" w:eastAsia="仿宋_GB2312" w:cs="Times New Roman"/>
          <w:color w:val="auto"/>
          <w:sz w:val="32"/>
          <w:highlight w:val="none"/>
        </w:rPr>
        <w:t>。</w:t>
      </w:r>
    </w:p>
    <w:p w14:paraId="46C4FFA3">
      <w:pPr>
        <w:pStyle w:val="5"/>
        <w:widowControl/>
        <w:rPr>
          <w:rFonts w:ascii="Calibri" w:hAnsi="Calibri" w:eastAsia="仿宋_GB2312" w:cs="Times New Roman"/>
          <w:color w:val="auto"/>
          <w:sz w:val="32"/>
          <w:highlight w:val="none"/>
        </w:rPr>
      </w:pPr>
    </w:p>
    <w:p w14:paraId="463129FF">
      <w:pPr>
        <w:pStyle w:val="12"/>
        <w:widowControl/>
        <w:numPr>
          <w:ilvl w:val="0"/>
          <w:numId w:val="0"/>
        </w:numPr>
        <w:ind w:leftChars="0"/>
        <w:rPr>
          <w:rFonts w:hint="default"/>
          <w:color w:val="auto"/>
          <w:highlight w:val="none"/>
          <w:lang w:val="en-US" w:eastAsia="zh-CN"/>
        </w:rPr>
      </w:pPr>
      <w:r>
        <w:rPr>
          <w:rFonts w:hint="eastAsia"/>
          <w:color w:val="auto"/>
          <w:highlight w:val="none"/>
          <w:lang w:val="en-US" w:eastAsia="zh-CN"/>
        </w:rPr>
        <w:t>第六章 开发利用监管</w:t>
      </w:r>
    </w:p>
    <w:p w14:paraId="201670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left"/>
        <w:rPr>
          <w:rFonts w:ascii="Calibri" w:hAnsi="Calibri" w:eastAsia="仿宋_GB2312" w:cs="Times New Roman"/>
          <w:color w:val="auto"/>
          <w:sz w:val="32"/>
          <w:highlight w:val="none"/>
        </w:rPr>
      </w:pPr>
      <w:r>
        <w:rPr>
          <w:rFonts w:hint="eastAsia" w:ascii="Calibri" w:hAnsi="Calibri" w:eastAsia="仿宋_GB2312" w:cs="Times New Roman"/>
          <w:b/>
          <w:color w:val="auto"/>
          <w:kern w:val="0"/>
          <w:sz w:val="32"/>
          <w:szCs w:val="20"/>
          <w:highlight w:val="none"/>
          <w:lang w:val="en-US" w:eastAsia="zh-CN"/>
        </w:rPr>
        <w:t xml:space="preserve">第十五条 </w:t>
      </w:r>
      <w:r>
        <w:rPr>
          <w:rFonts w:ascii="Calibri" w:hAnsi="Calibri" w:eastAsia="仿宋_GB2312" w:cs="Times New Roman"/>
          <w:color w:val="auto"/>
          <w:sz w:val="32"/>
          <w:highlight w:val="none"/>
        </w:rPr>
        <w:t>入市交易完成后，受让方向不动产登记机构申请使用权登记。</w:t>
      </w:r>
    </w:p>
    <w:p w14:paraId="0A3D14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both"/>
        <w:rPr>
          <w:rFonts w:ascii="Calibri" w:hAnsi="Calibri" w:eastAsia="仿宋_GB2312" w:cs="Times New Roman"/>
          <w:color w:val="auto"/>
          <w:sz w:val="32"/>
          <w:highlight w:val="none"/>
        </w:rPr>
      </w:pPr>
      <w:r>
        <w:rPr>
          <w:rFonts w:hint="eastAsia" w:ascii="Calibri" w:hAnsi="Calibri" w:eastAsia="仿宋_GB2312" w:cs="Times New Roman"/>
          <w:b/>
          <w:color w:val="auto"/>
          <w:kern w:val="0"/>
          <w:sz w:val="32"/>
          <w:szCs w:val="20"/>
          <w:highlight w:val="none"/>
          <w:lang w:val="en-US" w:eastAsia="zh-CN"/>
        </w:rPr>
        <w:t xml:space="preserve">第十六条 </w:t>
      </w:r>
      <w:r>
        <w:rPr>
          <w:rFonts w:ascii="Calibri" w:hAnsi="Calibri" w:eastAsia="仿宋_GB2312" w:cs="Times New Roman"/>
          <w:color w:val="auto"/>
          <w:sz w:val="32"/>
          <w:highlight w:val="none"/>
        </w:rPr>
        <w:t>使用</w:t>
      </w:r>
      <w:r>
        <w:rPr>
          <w:rFonts w:hint="eastAsia" w:ascii="Calibri" w:hAnsi="Calibri" w:eastAsia="仿宋_GB2312" w:cs="Times New Roman"/>
          <w:color w:val="auto"/>
          <w:kern w:val="2"/>
          <w:sz w:val="32"/>
          <w:szCs w:val="24"/>
          <w:highlight w:val="none"/>
          <w:lang w:val="en-US" w:eastAsia="zh-CN" w:bidi="ar-SA"/>
        </w:rPr>
        <w:t>权人应按照法律法规和国家、省、市、区有关规定以及合同确</w:t>
      </w:r>
      <w:r>
        <w:rPr>
          <w:rFonts w:ascii="Calibri" w:hAnsi="Calibri" w:eastAsia="仿宋_GB2312" w:cs="Times New Roman"/>
          <w:color w:val="auto"/>
          <w:sz w:val="32"/>
          <w:highlight w:val="none"/>
        </w:rPr>
        <w:t>定的开发建设期限、土地用途、土地使用条件等内容，科学合理开发和利用土地，不得损害国家、集体和其他人的利益。</w:t>
      </w:r>
    </w:p>
    <w:p w14:paraId="1CCFB0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both"/>
        <w:rPr>
          <w:rFonts w:hint="eastAsia" w:ascii="Calibri" w:hAnsi="Calibri" w:eastAsia="仿宋_GB2312" w:cs="Times New Roman"/>
          <w:color w:val="auto"/>
          <w:sz w:val="32"/>
          <w:highlight w:val="none"/>
          <w:lang w:val="en-US" w:eastAsia="zh-CN"/>
        </w:rPr>
      </w:pPr>
      <w:r>
        <w:rPr>
          <w:rFonts w:hint="eastAsia" w:ascii="Calibri" w:hAnsi="Calibri" w:eastAsia="仿宋_GB2312" w:cs="Times New Roman"/>
          <w:b/>
          <w:color w:val="auto"/>
          <w:kern w:val="0"/>
          <w:sz w:val="32"/>
          <w:szCs w:val="20"/>
          <w:highlight w:val="none"/>
          <w:lang w:val="en-US" w:eastAsia="zh-CN"/>
        </w:rPr>
        <w:t xml:space="preserve">第十七条 </w:t>
      </w:r>
      <w:r>
        <w:rPr>
          <w:rFonts w:ascii="Calibri" w:hAnsi="Calibri" w:eastAsia="仿宋_GB2312" w:cs="Times New Roman"/>
          <w:color w:val="auto"/>
          <w:sz w:val="32"/>
          <w:highlight w:val="none"/>
        </w:rPr>
        <w:t>任何单位和个人不得擅自更改规划建设条件。因政府规划调整、</w:t>
      </w:r>
      <w:r>
        <w:rPr>
          <w:rFonts w:hint="eastAsia" w:ascii="Calibri" w:hAnsi="Calibri" w:eastAsia="仿宋_GB2312" w:cs="Times New Roman"/>
          <w:color w:val="auto"/>
          <w:kern w:val="2"/>
          <w:sz w:val="32"/>
          <w:szCs w:val="24"/>
          <w:highlight w:val="none"/>
          <w:lang w:val="en-US" w:eastAsia="zh-CN" w:bidi="ar-SA"/>
        </w:rPr>
        <w:t>重大公共事件、自然灾害等原因，确需改变合同约定条件的，依法办理改变土地用途批准手续，签订出让（出租、作价出资〈入股〉）合同变更协议或者重新签订出让（出租、作价出资〈入股〉）合同，受让人按照相关规定补缴土地价款；产生增值的，使用权人应当补缴土地增值收益调节金和有关税费。缴纳</w:t>
      </w:r>
      <w:r>
        <w:rPr>
          <w:rFonts w:ascii="Calibri" w:hAnsi="Calibri" w:eastAsia="仿宋_GB2312" w:cs="Times New Roman"/>
          <w:color w:val="auto"/>
          <w:sz w:val="32"/>
          <w:highlight w:val="none"/>
        </w:rPr>
        <w:t>完毕后可申请办理土地变更登记。</w:t>
      </w:r>
    </w:p>
    <w:p w14:paraId="5C599A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both"/>
        <w:rPr>
          <w:rFonts w:hint="eastAsia" w:ascii="Calibri" w:hAnsi="Calibri" w:eastAsia="仿宋_GB2312" w:cs="Times New Roman"/>
          <w:color w:val="auto"/>
          <w:sz w:val="32"/>
          <w:highlight w:val="none"/>
          <w:lang w:val="en-US" w:eastAsia="zh-CN"/>
        </w:rPr>
      </w:pPr>
      <w:r>
        <w:rPr>
          <w:rFonts w:hint="eastAsia" w:ascii="Calibri" w:hAnsi="Calibri" w:eastAsia="仿宋_GB2312" w:cs="Times New Roman"/>
          <w:b/>
          <w:color w:val="auto"/>
          <w:kern w:val="0"/>
          <w:sz w:val="32"/>
          <w:szCs w:val="20"/>
          <w:highlight w:val="none"/>
          <w:lang w:val="en-US" w:eastAsia="zh-CN"/>
        </w:rPr>
        <w:t xml:space="preserve">第十八条 </w:t>
      </w:r>
      <w:r>
        <w:rPr>
          <w:rFonts w:ascii="Calibri" w:hAnsi="Calibri" w:eastAsia="仿宋_GB2312" w:cs="Times New Roman"/>
          <w:color w:val="auto"/>
          <w:sz w:val="32"/>
          <w:highlight w:val="none"/>
        </w:rPr>
        <w:t>使用权人未按照入市合同约定的开发期限开发土地，造成土地闲置的，参照国有闲置土地处置的有关规定进行处置。符合收回条件的，所有权人可以解除土地出让（</w:t>
      </w:r>
      <w:r>
        <w:rPr>
          <w:rFonts w:hint="eastAsia" w:ascii="Calibri" w:hAnsi="Calibri" w:eastAsia="仿宋_GB2312" w:cs="Times New Roman"/>
          <w:color w:val="auto"/>
          <w:sz w:val="32"/>
          <w:highlight w:val="none"/>
          <w:lang w:eastAsia="zh-CN"/>
        </w:rPr>
        <w:t>出租、作价出资〈入股〉</w:t>
      </w:r>
      <w:r>
        <w:rPr>
          <w:rFonts w:ascii="Calibri" w:hAnsi="Calibri" w:eastAsia="仿宋_GB2312" w:cs="Times New Roman"/>
          <w:color w:val="auto"/>
          <w:sz w:val="32"/>
          <w:highlight w:val="none"/>
        </w:rPr>
        <w:t>）合同，依法收回土地使用权。</w:t>
      </w:r>
    </w:p>
    <w:p w14:paraId="1CB88B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both"/>
        <w:rPr>
          <w:rFonts w:ascii="Calibri" w:hAnsi="Calibri" w:eastAsia="仿宋_GB2312" w:cs="Times New Roman"/>
          <w:color w:val="auto"/>
          <w:sz w:val="32"/>
          <w:highlight w:val="none"/>
        </w:rPr>
      </w:pPr>
      <w:r>
        <w:rPr>
          <w:rFonts w:hint="eastAsia" w:ascii="Calibri" w:hAnsi="Calibri" w:eastAsia="仿宋_GB2312" w:cs="Times New Roman"/>
          <w:b/>
          <w:color w:val="auto"/>
          <w:kern w:val="0"/>
          <w:sz w:val="32"/>
          <w:szCs w:val="20"/>
          <w:highlight w:val="none"/>
          <w:lang w:val="en-US" w:eastAsia="zh-CN"/>
        </w:rPr>
        <w:t xml:space="preserve">第十九条 </w:t>
      </w:r>
      <w:r>
        <w:rPr>
          <w:rFonts w:ascii="Calibri" w:hAnsi="Calibri" w:eastAsia="仿宋_GB2312" w:cs="Times New Roman"/>
          <w:color w:val="auto"/>
          <w:sz w:val="32"/>
          <w:highlight w:val="none"/>
        </w:rPr>
        <w:t>农村集体经营性建设用地使用权出让、出租、作价出资（入股）期限届满，使用权人需要续期的，可提前申请续期</w:t>
      </w:r>
      <w:r>
        <w:rPr>
          <w:rFonts w:hint="eastAsia" w:ascii="Calibri" w:hAnsi="Calibri" w:eastAsia="仿宋_GB2312" w:cs="Times New Roman"/>
          <w:color w:val="auto"/>
          <w:sz w:val="32"/>
          <w:highlight w:val="none"/>
          <w:lang w:eastAsia="zh-CN"/>
        </w:rPr>
        <w:t>，</w:t>
      </w:r>
      <w:r>
        <w:rPr>
          <w:rFonts w:hint="eastAsia" w:ascii="Calibri" w:hAnsi="Calibri" w:eastAsia="仿宋_GB2312" w:cs="Times New Roman"/>
          <w:color w:val="auto"/>
          <w:sz w:val="32"/>
          <w:highlight w:val="none"/>
          <w:lang w:val="en-US" w:eastAsia="zh-CN"/>
        </w:rPr>
        <w:t>续期应重新签订合同，并依法缴纳相关费用。</w:t>
      </w:r>
      <w:r>
        <w:rPr>
          <w:rFonts w:ascii="Calibri" w:hAnsi="Calibri" w:eastAsia="仿宋_GB2312" w:cs="Times New Roman"/>
          <w:color w:val="auto"/>
          <w:sz w:val="32"/>
          <w:highlight w:val="none"/>
        </w:rPr>
        <w:t>未申请续期或申请续期未获批准的，由所有权人无偿收回，其地上建筑物、附着物等按照入市合同的约定处理。法律法规另有规定的，从其规定。</w:t>
      </w:r>
    </w:p>
    <w:p w14:paraId="298005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left"/>
        <w:rPr>
          <w:rFonts w:ascii="Calibri" w:hAnsi="Calibri" w:eastAsia="仿宋_GB2312" w:cs="Times New Roman"/>
          <w:color w:val="auto"/>
          <w:sz w:val="32"/>
          <w:highlight w:val="none"/>
        </w:rPr>
      </w:pPr>
      <w:r>
        <w:rPr>
          <w:rFonts w:hint="eastAsia" w:ascii="Calibri" w:hAnsi="Calibri" w:eastAsia="仿宋_GB2312" w:cs="Times New Roman"/>
          <w:b/>
          <w:color w:val="auto"/>
          <w:kern w:val="0"/>
          <w:sz w:val="32"/>
          <w:szCs w:val="20"/>
          <w:highlight w:val="none"/>
          <w:lang w:val="en-US" w:eastAsia="zh-CN"/>
        </w:rPr>
        <w:t xml:space="preserve">第二十条 </w:t>
      </w:r>
      <w:r>
        <w:rPr>
          <w:rFonts w:ascii="Calibri" w:hAnsi="Calibri" w:eastAsia="仿宋_GB2312" w:cs="Times New Roman"/>
          <w:color w:val="auto"/>
          <w:sz w:val="32"/>
          <w:highlight w:val="none"/>
        </w:rPr>
        <w:t>因公共利益需要，依法对农村集体经营性建设用地实行征收的，经市政府批准后，所有权人可提前收回土地使用权，但应对土地使用权人依法予以补偿。</w:t>
      </w:r>
    </w:p>
    <w:p w14:paraId="01407C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both"/>
        <w:rPr>
          <w:rFonts w:ascii="Calibri" w:hAnsi="Calibri" w:eastAsia="仿宋_GB2312" w:cs="Times New Roman"/>
          <w:color w:val="auto"/>
          <w:sz w:val="32"/>
          <w:highlight w:val="none"/>
        </w:rPr>
      </w:pPr>
      <w:r>
        <w:rPr>
          <w:rFonts w:hint="eastAsia" w:ascii="Calibri" w:hAnsi="Calibri" w:eastAsia="仿宋_GB2312" w:cs="Times New Roman"/>
          <w:b/>
          <w:color w:val="auto"/>
          <w:kern w:val="0"/>
          <w:sz w:val="32"/>
          <w:szCs w:val="20"/>
          <w:highlight w:val="none"/>
          <w:lang w:val="en-US" w:eastAsia="zh-CN"/>
        </w:rPr>
        <w:t xml:space="preserve">第二十一条 </w:t>
      </w:r>
      <w:r>
        <w:rPr>
          <w:rFonts w:ascii="Calibri" w:hAnsi="Calibri" w:eastAsia="仿宋_GB2312" w:cs="Times New Roman"/>
          <w:color w:val="auto"/>
          <w:sz w:val="32"/>
          <w:highlight w:val="none"/>
        </w:rPr>
        <w:t>入市后的农村集体经营性建设用地</w:t>
      </w:r>
      <w:r>
        <w:rPr>
          <w:rFonts w:hint="eastAsia" w:ascii="Calibri" w:hAnsi="Calibri" w:eastAsia="仿宋_GB2312" w:cs="Times New Roman"/>
          <w:color w:val="auto"/>
          <w:sz w:val="32"/>
          <w:highlight w:val="none"/>
          <w:lang w:eastAsia="zh-CN"/>
        </w:rPr>
        <w:t>应当</w:t>
      </w:r>
      <w:r>
        <w:rPr>
          <w:rFonts w:ascii="Calibri" w:hAnsi="Calibri" w:eastAsia="仿宋_GB2312" w:cs="Times New Roman"/>
          <w:color w:val="auto"/>
          <w:sz w:val="32"/>
          <w:highlight w:val="none"/>
        </w:rPr>
        <w:t>按照</w:t>
      </w:r>
      <w:r>
        <w:rPr>
          <w:rFonts w:hint="eastAsia" w:ascii="Calibri" w:hAnsi="Calibri" w:eastAsia="仿宋_GB2312" w:cs="Times New Roman"/>
          <w:color w:val="auto"/>
          <w:sz w:val="32"/>
          <w:highlight w:val="none"/>
          <w:lang w:eastAsia="zh-CN"/>
        </w:rPr>
        <w:t>“</w:t>
      </w:r>
      <w:r>
        <w:rPr>
          <w:rFonts w:ascii="Calibri" w:hAnsi="Calibri" w:eastAsia="仿宋_GB2312" w:cs="Times New Roman"/>
          <w:color w:val="auto"/>
          <w:sz w:val="32"/>
          <w:highlight w:val="none"/>
        </w:rPr>
        <w:t>谁提出、谁负责、谁监管</w:t>
      </w:r>
      <w:r>
        <w:rPr>
          <w:rFonts w:hint="eastAsia" w:ascii="Calibri" w:hAnsi="Calibri" w:eastAsia="仿宋_GB2312" w:cs="Times New Roman"/>
          <w:color w:val="auto"/>
          <w:sz w:val="32"/>
          <w:highlight w:val="none"/>
          <w:lang w:eastAsia="zh-CN"/>
        </w:rPr>
        <w:t>”</w:t>
      </w:r>
      <w:r>
        <w:rPr>
          <w:rFonts w:ascii="Calibri" w:hAnsi="Calibri" w:eastAsia="仿宋_GB2312" w:cs="Times New Roman"/>
          <w:color w:val="auto"/>
          <w:sz w:val="32"/>
          <w:highlight w:val="none"/>
        </w:rPr>
        <w:t>的原则对合同约定事项实施监管，确保使用权人依法依规使用土地。各镇（街道）政府（办事处）根据《投资发展监管协议》约定条件，对项目履约情况进行监管。</w:t>
      </w:r>
    </w:p>
    <w:p w14:paraId="5110EF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both"/>
        <w:rPr>
          <w:rFonts w:ascii="Calibri" w:hAnsi="Calibri" w:eastAsia="仿宋_GB2312" w:cs="Times New Roman"/>
          <w:color w:val="auto"/>
          <w:sz w:val="32"/>
          <w:highlight w:val="none"/>
        </w:rPr>
      </w:pPr>
    </w:p>
    <w:p w14:paraId="76518675">
      <w:pPr>
        <w:pStyle w:val="12"/>
        <w:widowControl/>
        <w:numPr>
          <w:ilvl w:val="0"/>
          <w:numId w:val="0"/>
        </w:numPr>
        <w:ind w:leftChars="0"/>
        <w:rPr>
          <w:rFonts w:hint="default"/>
          <w:color w:val="auto"/>
          <w:highlight w:val="none"/>
          <w:lang w:val="en-US" w:eastAsia="zh-CN"/>
        </w:rPr>
      </w:pPr>
      <w:r>
        <w:rPr>
          <w:rFonts w:hint="eastAsia"/>
          <w:color w:val="auto"/>
          <w:highlight w:val="none"/>
          <w:lang w:val="en-US" w:eastAsia="zh-CN"/>
        </w:rPr>
        <w:t>第七章 二级市场</w:t>
      </w:r>
    </w:p>
    <w:p w14:paraId="169BD4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left"/>
        <w:rPr>
          <w:rFonts w:hint="eastAsia" w:ascii="Calibri" w:hAnsi="Calibri" w:eastAsia="仿宋_GB2312" w:cs="Times New Roman"/>
          <w:color w:val="auto"/>
          <w:sz w:val="32"/>
          <w:highlight w:val="none"/>
        </w:rPr>
      </w:pPr>
      <w:r>
        <w:rPr>
          <w:rFonts w:hint="eastAsia" w:ascii="Calibri" w:hAnsi="Calibri" w:eastAsia="仿宋_GB2312" w:cs="Times New Roman"/>
          <w:b/>
          <w:color w:val="auto"/>
          <w:kern w:val="0"/>
          <w:sz w:val="32"/>
          <w:szCs w:val="20"/>
          <w:highlight w:val="none"/>
          <w:lang w:val="en-US" w:eastAsia="zh-CN"/>
        </w:rPr>
        <w:t xml:space="preserve">第二十二条 </w:t>
      </w:r>
      <w:r>
        <w:rPr>
          <w:rFonts w:hint="eastAsia" w:ascii="Calibri" w:hAnsi="Calibri" w:eastAsia="仿宋_GB2312" w:cs="Times New Roman"/>
          <w:color w:val="auto"/>
          <w:sz w:val="32"/>
          <w:highlight w:val="none"/>
        </w:rPr>
        <w:t>以出让、出租等方式依法取得的集体经营性建设用地使用权，土地使用权人在依法进行权属登记后，在使用期限内可以通过转让、转租、抵押等方式依法处置使用权，</w:t>
      </w:r>
      <w:r>
        <w:rPr>
          <w:rFonts w:hint="eastAsia" w:ascii="Calibri" w:hAnsi="Calibri" w:eastAsia="仿宋_GB2312" w:cs="Times New Roman"/>
          <w:color w:val="auto"/>
          <w:sz w:val="32"/>
          <w:highlight w:val="none"/>
          <w:lang w:val="en-US" w:eastAsia="zh-CN"/>
        </w:rPr>
        <w:t>转让应符合合同约定及开发投资强度要求，</w:t>
      </w:r>
      <w:r>
        <w:rPr>
          <w:rFonts w:hint="eastAsia" w:ascii="Calibri" w:hAnsi="Calibri" w:eastAsia="仿宋_GB2312" w:cs="Times New Roman"/>
          <w:color w:val="auto"/>
          <w:sz w:val="32"/>
          <w:highlight w:val="none"/>
        </w:rPr>
        <w:t>但不得分割转让、分割抵押。承租人未按合同约定的期限或条件投资开发、利用土地的，不得转租。</w:t>
      </w:r>
    </w:p>
    <w:p w14:paraId="5CCCEE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left"/>
        <w:rPr>
          <w:rFonts w:hint="default" w:ascii="Calibri" w:hAnsi="Calibri" w:eastAsia="仿宋_GB2312" w:cs="Times New Roman"/>
          <w:color w:val="auto"/>
          <w:sz w:val="32"/>
          <w:highlight w:val="none"/>
          <w:lang w:val="en-US" w:eastAsia="zh-CN"/>
        </w:rPr>
      </w:pPr>
      <w:r>
        <w:rPr>
          <w:rFonts w:hint="eastAsia" w:ascii="Calibri" w:hAnsi="Calibri" w:eastAsia="仿宋_GB2312" w:cs="Times New Roman"/>
          <w:b/>
          <w:color w:val="auto"/>
          <w:kern w:val="0"/>
          <w:sz w:val="32"/>
          <w:szCs w:val="20"/>
          <w:highlight w:val="none"/>
          <w:lang w:val="en-US" w:eastAsia="zh-CN"/>
        </w:rPr>
        <w:t xml:space="preserve">第二十三条 </w:t>
      </w:r>
      <w:r>
        <w:rPr>
          <w:rFonts w:hint="eastAsia" w:ascii="Calibri" w:hAnsi="Calibri" w:eastAsia="仿宋_GB2312" w:cs="Times New Roman"/>
          <w:color w:val="auto"/>
          <w:sz w:val="32"/>
          <w:highlight w:val="none"/>
        </w:rPr>
        <w:t>集体经营性建设用地使用权因转让等原因而发生权属变更的，当事人应当采取书面形式订立相应的合同，原土地使用者的权利、义务随之转移。使用期限不得超过集体经营性建设用地使用权的剩余期限，并依法缴纳土地增值收益调节金等有关费用，办理不动产转移登记。</w:t>
      </w:r>
      <w:r>
        <w:rPr>
          <w:rFonts w:hint="eastAsia" w:ascii="Calibri" w:hAnsi="Calibri" w:eastAsia="仿宋_GB2312" w:cs="Times New Roman"/>
          <w:color w:val="auto"/>
          <w:sz w:val="32"/>
          <w:highlight w:val="none"/>
          <w:lang w:val="en-US" w:eastAsia="zh-CN"/>
        </w:rPr>
        <w:t>转让应经原出让方或集体经济组织同意。</w:t>
      </w:r>
    </w:p>
    <w:p w14:paraId="476DA3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both"/>
        <w:rPr>
          <w:rFonts w:ascii="Calibri" w:hAnsi="Calibri" w:eastAsia="仿宋_GB2312" w:cs="Times New Roman"/>
          <w:color w:val="auto"/>
          <w:sz w:val="32"/>
          <w:highlight w:val="none"/>
        </w:rPr>
      </w:pPr>
      <w:r>
        <w:rPr>
          <w:rFonts w:hint="eastAsia" w:ascii="Calibri" w:hAnsi="Calibri" w:eastAsia="仿宋_GB2312" w:cs="Times New Roman"/>
          <w:b/>
          <w:color w:val="auto"/>
          <w:kern w:val="0"/>
          <w:sz w:val="32"/>
          <w:szCs w:val="20"/>
          <w:highlight w:val="none"/>
          <w:lang w:val="en-US" w:eastAsia="zh-CN"/>
        </w:rPr>
        <w:t xml:space="preserve">第二十四条 </w:t>
      </w:r>
      <w:r>
        <w:rPr>
          <w:rFonts w:ascii="Calibri" w:hAnsi="Calibri" w:eastAsia="仿宋_GB2312" w:cs="Times New Roman"/>
          <w:color w:val="auto"/>
          <w:sz w:val="32"/>
          <w:highlight w:val="none"/>
        </w:rPr>
        <w:t>集体经营性建设用地使用权抵押登记参照国有建设用地使用权抵押的相关规定办理。</w:t>
      </w:r>
    </w:p>
    <w:p w14:paraId="468B4927">
      <w:pPr>
        <w:pStyle w:val="5"/>
        <w:widowControl/>
        <w:ind w:firstLine="420"/>
        <w:rPr>
          <w:rFonts w:ascii="Calibri" w:hAnsi="Calibri" w:eastAsia="仿宋_GB2312" w:cs="Times New Roman"/>
          <w:b/>
          <w:color w:val="auto"/>
          <w:sz w:val="32"/>
          <w:highlight w:val="none"/>
        </w:rPr>
      </w:pPr>
      <w:r>
        <w:rPr>
          <w:rFonts w:hint="eastAsia" w:ascii="Calibri" w:hAnsi="Calibri" w:eastAsia="仿宋_GB2312" w:cs="Times New Roman"/>
          <w:b/>
          <w:color w:val="auto"/>
          <w:kern w:val="0"/>
          <w:sz w:val="32"/>
          <w:szCs w:val="20"/>
          <w:highlight w:val="none"/>
          <w:lang w:val="en-US" w:eastAsia="zh-CN"/>
        </w:rPr>
        <w:t>第二十</w:t>
      </w:r>
      <w:r>
        <w:rPr>
          <w:rFonts w:hint="eastAsia" w:cs="Times New Roman"/>
          <w:b/>
          <w:color w:val="auto"/>
          <w:kern w:val="0"/>
          <w:sz w:val="32"/>
          <w:szCs w:val="20"/>
          <w:highlight w:val="none"/>
          <w:lang w:val="en-US" w:eastAsia="zh-CN"/>
        </w:rPr>
        <w:t>五</w:t>
      </w:r>
      <w:r>
        <w:rPr>
          <w:rFonts w:hint="eastAsia" w:ascii="Calibri" w:hAnsi="Calibri" w:eastAsia="仿宋_GB2312" w:cs="Times New Roman"/>
          <w:b/>
          <w:color w:val="auto"/>
          <w:kern w:val="0"/>
          <w:sz w:val="32"/>
          <w:szCs w:val="20"/>
          <w:highlight w:val="none"/>
          <w:lang w:val="en-US" w:eastAsia="zh-CN"/>
        </w:rPr>
        <w:t xml:space="preserve">条 </w:t>
      </w:r>
      <w:r>
        <w:rPr>
          <w:rFonts w:ascii="Calibri" w:hAnsi="Calibri" w:eastAsia="仿宋_GB2312" w:cs="Times New Roman"/>
          <w:color w:val="auto"/>
          <w:spacing wpsCustomData:val="0" w:val="3"/>
          <w:sz w:val="32"/>
          <w:highlight w:val="none"/>
        </w:rPr>
        <w:t>有下列情形之一</w:t>
      </w:r>
      <w:r>
        <w:rPr>
          <w:rFonts w:ascii="Calibri" w:hAnsi="Calibri" w:eastAsia="仿宋_GB2312" w:cs="Times New Roman"/>
          <w:color w:val="auto"/>
          <w:spacing wpsCustomData:val="0" w:val="4"/>
          <w:sz w:val="32"/>
          <w:highlight w:val="none"/>
        </w:rPr>
        <w:t>的</w:t>
      </w:r>
      <w:r>
        <w:rPr>
          <w:rFonts w:ascii="Calibri" w:hAnsi="Calibri" w:eastAsia="仿宋_GB2312" w:cs="Times New Roman"/>
          <w:color w:val="auto"/>
          <w:spacing wpsCustomData:val="0" w:val="3"/>
          <w:sz w:val="32"/>
          <w:highlight w:val="none"/>
        </w:rPr>
        <w:t>，</w:t>
      </w:r>
      <w:r>
        <w:rPr>
          <w:rFonts w:ascii="Calibri" w:hAnsi="Calibri" w:eastAsia="仿宋_GB2312" w:cs="Times New Roman"/>
          <w:color w:val="auto"/>
          <w:spacing wpsCustomData:val="0" w:val="4"/>
          <w:sz w:val="32"/>
          <w:highlight w:val="none"/>
        </w:rPr>
        <w:t>不得进入土地二级市</w:t>
      </w:r>
      <w:r>
        <w:rPr>
          <w:rFonts w:ascii="Calibri" w:hAnsi="Calibri" w:eastAsia="仿宋_GB2312" w:cs="Times New Roman"/>
          <w:color w:val="auto"/>
          <w:sz w:val="32"/>
          <w:highlight w:val="none"/>
        </w:rPr>
        <w:t>场交易。</w:t>
      </w:r>
    </w:p>
    <w:p w14:paraId="20412080">
      <w:pPr>
        <w:pStyle w:val="5"/>
        <w:widowControl/>
        <w:numPr>
          <w:ilvl w:val="0"/>
          <w:numId w:val="0"/>
        </w:numPr>
        <w:topLinePunct w:val="0"/>
        <w:ind w:left="0" w:leftChars="0" w:firstLine="640"/>
        <w:rPr>
          <w:rFonts w:hint="eastAsia" w:ascii="仿宋_GB2312" w:hAnsi="仿宋_GB2312" w:eastAsia="仿宋_GB2312" w:cs="仿宋_GB2312"/>
          <w:b w:val="0"/>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（一）</w:t>
      </w:r>
      <w:r>
        <w:rPr>
          <w:rFonts w:hint="eastAsia" w:ascii="仿宋_GB2312" w:hAnsi="仿宋_GB2312" w:eastAsia="仿宋_GB2312" w:cs="仿宋_GB2312"/>
          <w:color w:val="auto"/>
          <w:sz w:val="32"/>
          <w:szCs w:val="32"/>
          <w:highlight w:val="none"/>
        </w:rPr>
        <w:t>权属有争议的</w:t>
      </w:r>
      <w:r>
        <w:rPr>
          <w:rFonts w:hint="eastAsia" w:ascii="仿宋_GB2312" w:hAnsi="仿宋_GB2312" w:eastAsia="仿宋_GB2312" w:cs="仿宋_GB2312"/>
          <w:color w:val="auto"/>
          <w:sz w:val="32"/>
          <w:szCs w:val="32"/>
          <w:highlight w:val="none"/>
          <w:lang w:eastAsia="zh-CN"/>
        </w:rPr>
        <w:t>；</w:t>
      </w:r>
    </w:p>
    <w:p w14:paraId="6E1C9ED2">
      <w:pPr>
        <w:pStyle w:val="5"/>
        <w:widowControl/>
        <w:numPr>
          <w:ilvl w:val="0"/>
          <w:numId w:val="0"/>
        </w:numPr>
        <w:topLinePunct w:val="0"/>
        <w:ind w:left="0" w:leftChars="0" w:firstLine="640"/>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color w:val="auto"/>
          <w:spacing wpsCustomData:val="0" w:val="10"/>
          <w:sz w:val="32"/>
          <w:szCs w:val="32"/>
          <w:highlight w:val="none"/>
          <w:lang w:eastAsia="zh-CN"/>
        </w:rPr>
        <w:t>（</w:t>
      </w:r>
      <w:r>
        <w:rPr>
          <w:rFonts w:hint="eastAsia" w:ascii="仿宋_GB2312" w:hAnsi="仿宋_GB2312" w:eastAsia="仿宋_GB2312" w:cs="仿宋_GB2312"/>
          <w:color w:val="auto"/>
          <w:spacing wpsCustomData:val="0" w:val="11"/>
          <w:sz w:val="32"/>
          <w:szCs w:val="32"/>
          <w:highlight w:val="none"/>
          <w:lang w:eastAsia="zh-CN"/>
        </w:rPr>
        <w:t>二）</w:t>
      </w:r>
      <w:r>
        <w:rPr>
          <w:rFonts w:hint="eastAsia" w:ascii="仿宋_GB2312" w:hAnsi="仿宋_GB2312" w:eastAsia="仿宋_GB2312" w:cs="仿宋_GB2312"/>
          <w:color w:val="auto"/>
          <w:spacing wpsCustomData:val="0" w:val="11"/>
          <w:sz w:val="32"/>
          <w:szCs w:val="32"/>
          <w:highlight w:val="none"/>
        </w:rPr>
        <w:t>未取得不动产权证书或无法提供其他权属证明</w:t>
      </w:r>
      <w:r>
        <w:rPr>
          <w:rFonts w:hint="eastAsia" w:ascii="仿宋_GB2312" w:hAnsi="仿宋_GB2312" w:eastAsia="仿宋_GB2312" w:cs="仿宋_GB2312"/>
          <w:color w:val="auto"/>
          <w:sz w:val="32"/>
          <w:szCs w:val="32"/>
          <w:highlight w:val="none"/>
        </w:rPr>
        <w:t>材料的；</w:t>
      </w:r>
    </w:p>
    <w:p w14:paraId="2A06CBE0">
      <w:pPr>
        <w:pStyle w:val="5"/>
        <w:widowControl/>
        <w:numPr>
          <w:ilvl w:val="0"/>
          <w:numId w:val="0"/>
        </w:numPr>
        <w:topLinePunct w:val="0"/>
        <w:ind w:left="0" w:leftChars="0" w:firstLine="640"/>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color w:val="auto"/>
          <w:sz w:val="32"/>
          <w:szCs w:val="32"/>
          <w:highlight w:val="none"/>
          <w:lang w:eastAsia="zh-CN"/>
        </w:rPr>
        <w:t>（三）</w:t>
      </w:r>
      <w:r>
        <w:rPr>
          <w:rFonts w:hint="eastAsia" w:ascii="仿宋_GB2312" w:hAnsi="仿宋_GB2312" w:eastAsia="仿宋_GB2312" w:cs="仿宋_GB2312"/>
          <w:color w:val="auto"/>
          <w:sz w:val="32"/>
          <w:szCs w:val="32"/>
          <w:highlight w:val="none"/>
        </w:rPr>
        <w:t>司法机关或行政机关依法裁定、决定查封或者以其他形式限制建设用地使用权或地上建筑物、其他附着物所有权的；</w:t>
      </w:r>
    </w:p>
    <w:p w14:paraId="2477718C">
      <w:pPr>
        <w:pStyle w:val="5"/>
        <w:widowControl/>
        <w:numPr>
          <w:ilvl w:val="0"/>
          <w:numId w:val="0"/>
        </w:numPr>
        <w:topLinePunct w:val="0"/>
        <w:ind w:left="0" w:leftChars="0" w:firstLine="640"/>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color w:val="auto"/>
          <w:sz w:val="32"/>
          <w:szCs w:val="32"/>
          <w:highlight w:val="none"/>
          <w:lang w:eastAsia="zh-CN"/>
        </w:rPr>
        <w:t>（四）</w:t>
      </w:r>
      <w:r>
        <w:rPr>
          <w:rFonts w:hint="eastAsia" w:ascii="仿宋_GB2312" w:hAnsi="仿宋_GB2312" w:eastAsia="仿宋_GB2312" w:cs="仿宋_GB2312"/>
          <w:color w:val="auto"/>
          <w:sz w:val="32"/>
          <w:szCs w:val="32"/>
          <w:highlight w:val="none"/>
        </w:rPr>
        <w:t>共有土地使用权及地上建筑物、其他附着物所有权，未依法经其他共有人同意的；</w:t>
      </w:r>
    </w:p>
    <w:p w14:paraId="3989C5B0">
      <w:pPr>
        <w:pStyle w:val="5"/>
        <w:widowControl/>
        <w:numPr>
          <w:ilvl w:val="0"/>
          <w:numId w:val="0"/>
        </w:numPr>
        <w:topLinePunct w:val="0"/>
        <w:ind w:left="0" w:leftChars="0" w:firstLine="640"/>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color w:val="auto"/>
          <w:sz w:val="32"/>
          <w:szCs w:val="32"/>
          <w:highlight w:val="none"/>
          <w:lang w:eastAsia="zh-CN"/>
        </w:rPr>
        <w:t>（五）</w:t>
      </w:r>
      <w:r>
        <w:rPr>
          <w:rFonts w:hint="eastAsia" w:ascii="仿宋_GB2312" w:hAnsi="仿宋_GB2312" w:eastAsia="仿宋_GB2312" w:cs="仿宋_GB2312"/>
          <w:color w:val="auto"/>
          <w:sz w:val="32"/>
          <w:szCs w:val="32"/>
          <w:highlight w:val="none"/>
        </w:rPr>
        <w:t>未达到法定土地开发要求的；</w:t>
      </w:r>
    </w:p>
    <w:p w14:paraId="55662793">
      <w:pPr>
        <w:pStyle w:val="5"/>
        <w:widowControl/>
        <w:numPr>
          <w:ilvl w:val="0"/>
          <w:numId w:val="0"/>
        </w:numPr>
        <w:topLinePunct w:val="0"/>
        <w:ind w:left="0" w:leftChars="0" w:firstLine="640"/>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color w:val="auto"/>
          <w:sz w:val="32"/>
          <w:szCs w:val="32"/>
          <w:highlight w:val="none"/>
          <w:lang w:eastAsia="zh-CN"/>
        </w:rPr>
        <w:t>（六）</w:t>
      </w:r>
      <w:r>
        <w:rPr>
          <w:rFonts w:hint="eastAsia" w:ascii="仿宋_GB2312" w:hAnsi="仿宋_GB2312" w:eastAsia="仿宋_GB2312" w:cs="仿宋_GB2312"/>
          <w:color w:val="auto"/>
          <w:sz w:val="32"/>
          <w:szCs w:val="32"/>
          <w:highlight w:val="none"/>
        </w:rPr>
        <w:t>不符合出让条件约定的转让要求的；</w:t>
      </w:r>
    </w:p>
    <w:p w14:paraId="7BD14CD9">
      <w:pPr>
        <w:pStyle w:val="5"/>
        <w:widowControl/>
        <w:numPr>
          <w:ilvl w:val="0"/>
          <w:numId w:val="0"/>
        </w:numPr>
        <w:topLinePunct w:val="0"/>
        <w:ind w:left="0" w:leftChars="0" w:firstLine="640"/>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color w:val="auto"/>
          <w:sz w:val="32"/>
          <w:szCs w:val="32"/>
          <w:highlight w:val="none"/>
          <w:lang w:eastAsia="zh-CN"/>
        </w:rPr>
        <w:t>（七）</w:t>
      </w:r>
      <w:r>
        <w:rPr>
          <w:rFonts w:hint="eastAsia" w:ascii="仿宋_GB2312" w:hAnsi="仿宋_GB2312" w:eastAsia="仿宋_GB2312" w:cs="仿宋_GB2312"/>
          <w:color w:val="auto"/>
          <w:sz w:val="32"/>
          <w:szCs w:val="32"/>
          <w:highlight w:val="none"/>
        </w:rPr>
        <w:t>国有企业、行政事业单位及下属企业建设用地使用权转让，未经国资主管部门批准的；</w:t>
      </w:r>
    </w:p>
    <w:p w14:paraId="6DD56A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（八）</w:t>
      </w:r>
      <w:r>
        <w:rPr>
          <w:rFonts w:hint="eastAsia" w:ascii="仿宋_GB2312" w:hAnsi="仿宋_GB2312" w:eastAsia="仿宋_GB2312" w:cs="仿宋_GB2312"/>
          <w:color w:val="auto"/>
          <w:sz w:val="32"/>
          <w:szCs w:val="32"/>
          <w:highlight w:val="none"/>
        </w:rPr>
        <w:t>法律、行政法规禁止转让的其他情形。</w:t>
      </w:r>
    </w:p>
    <w:p w14:paraId="624857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left"/>
        <w:rPr>
          <w:rFonts w:hint="eastAsia" w:ascii="仿宋_GB2312" w:hAnsi="仿宋_GB2312" w:eastAsia="仿宋_GB2312" w:cs="仿宋_GB2312"/>
          <w:color w:val="auto"/>
          <w:kern w:val="0"/>
          <w:sz w:val="32"/>
          <w:szCs w:val="32"/>
          <w:highlight w:val="none"/>
          <w:lang w:val="en-US" w:eastAsia="zh-CN" w:bidi="ar"/>
        </w:rPr>
      </w:pPr>
    </w:p>
    <w:p w14:paraId="3A1AA22E">
      <w:pPr>
        <w:pStyle w:val="12"/>
        <w:widowControl/>
        <w:numPr>
          <w:ilvl w:val="0"/>
          <w:numId w:val="0"/>
        </w:numPr>
        <w:ind w:leftChars="0"/>
        <w:rPr>
          <w:rFonts w:hint="eastAsia"/>
          <w:color w:val="auto"/>
          <w:highlight w:val="none"/>
          <w:lang w:eastAsia="zh-CN"/>
        </w:rPr>
      </w:pPr>
      <w:r>
        <w:rPr>
          <w:rFonts w:hint="eastAsia"/>
          <w:color w:val="auto"/>
          <w:highlight w:val="none"/>
          <w:lang w:eastAsia="zh-CN"/>
        </w:rPr>
        <w:t>第</w:t>
      </w:r>
      <w:r>
        <w:rPr>
          <w:rFonts w:hint="eastAsia"/>
          <w:color w:val="auto"/>
          <w:highlight w:val="none"/>
          <w:lang w:val="en-US" w:eastAsia="zh-CN"/>
        </w:rPr>
        <w:t>八</w:t>
      </w:r>
      <w:r>
        <w:rPr>
          <w:rFonts w:hint="eastAsia"/>
          <w:color w:val="auto"/>
          <w:highlight w:val="none"/>
          <w:lang w:eastAsia="zh-CN"/>
        </w:rPr>
        <w:t>章 土地增值收益调节金管理</w:t>
      </w:r>
    </w:p>
    <w:p w14:paraId="34D3FFCB">
      <w:pPr>
        <w:pStyle w:val="5"/>
        <w:widowControl/>
        <w:rPr>
          <w:rFonts w:hint="eastAsia" w:ascii="Calibri" w:hAnsi="Calibri" w:eastAsia="仿宋_GB2312" w:cs="Times New Roman"/>
          <w:color w:val="auto"/>
          <w:kern w:val="2"/>
          <w:sz w:val="32"/>
          <w:szCs w:val="24"/>
          <w:highlight w:val="none"/>
          <w:lang w:val="en-US" w:eastAsia="zh-CN" w:bidi="ar-SA"/>
        </w:rPr>
      </w:pPr>
      <w:r>
        <w:rPr>
          <w:rFonts w:hint="eastAsia" w:ascii="Calibri" w:hAnsi="Calibri" w:eastAsia="仿宋_GB2312" w:cs="Times New Roman"/>
          <w:b/>
          <w:color w:val="auto"/>
          <w:kern w:val="0"/>
          <w:sz w:val="32"/>
          <w:szCs w:val="20"/>
          <w:highlight w:val="none"/>
          <w:lang w:val="en-US" w:eastAsia="zh-CN" w:bidi="ar-SA"/>
        </w:rPr>
        <w:t>第二十六条</w:t>
      </w:r>
      <w:r>
        <w:rPr>
          <w:rFonts w:hint="eastAsia" w:ascii="Calibri" w:hAnsi="Calibri" w:eastAsia="仿宋_GB2312" w:cs="Times New Roman"/>
          <w:b/>
          <w:color w:val="auto"/>
          <w:sz w:val="32"/>
          <w:highlight w:val="none"/>
        </w:rPr>
        <w:t xml:space="preserve"> </w:t>
      </w:r>
      <w:r>
        <w:rPr>
          <w:rFonts w:hint="eastAsia" w:ascii="Calibri" w:hAnsi="Calibri" w:eastAsia="仿宋_GB2312" w:cs="Times New Roman"/>
          <w:color w:val="auto"/>
          <w:kern w:val="2"/>
          <w:sz w:val="32"/>
          <w:szCs w:val="24"/>
          <w:highlight w:val="none"/>
          <w:lang w:val="en-US" w:eastAsia="zh-CN" w:bidi="ar-SA"/>
        </w:rPr>
        <w:t>土地增值收益调节金是指按照建立同权同价、流转顺畅、收益共享的农村集体经营性建设用地入市制度的目标，在农村集体经营性建设用地入市及再转让环节，对土地增值收益收取的资金。</w:t>
      </w:r>
    </w:p>
    <w:p w14:paraId="0FCB80FE">
      <w:pPr>
        <w:pStyle w:val="5"/>
        <w:widowControl/>
        <w:rPr>
          <w:rFonts w:hint="eastAsia" w:ascii="Calibri" w:hAnsi="Calibri" w:eastAsia="仿宋_GB2312" w:cs="Times New Roman"/>
          <w:color w:val="auto"/>
          <w:kern w:val="2"/>
          <w:sz w:val="32"/>
          <w:szCs w:val="24"/>
          <w:highlight w:val="none"/>
          <w:lang w:val="en-US" w:eastAsia="zh-CN" w:bidi="ar-SA"/>
        </w:rPr>
      </w:pPr>
      <w:r>
        <w:rPr>
          <w:rFonts w:hint="eastAsia" w:ascii="Calibri" w:hAnsi="Calibri" w:eastAsia="仿宋_GB2312" w:cs="Times New Roman"/>
          <w:b/>
          <w:color w:val="auto"/>
          <w:kern w:val="0"/>
          <w:sz w:val="32"/>
          <w:szCs w:val="20"/>
          <w:highlight w:val="none"/>
          <w:lang w:val="en-US" w:eastAsia="zh-CN" w:bidi="ar-SA"/>
        </w:rPr>
        <w:t>第二十七条</w:t>
      </w:r>
      <w:r>
        <w:rPr>
          <w:rFonts w:hint="eastAsia" w:ascii="Calibri" w:hAnsi="Calibri" w:eastAsia="仿宋_GB2312" w:cs="Times New Roman"/>
          <w:b/>
          <w:color w:val="auto"/>
          <w:sz w:val="32"/>
          <w:highlight w:val="none"/>
        </w:rPr>
        <w:t xml:space="preserve"> </w:t>
      </w:r>
      <w:r>
        <w:rPr>
          <w:rFonts w:hint="eastAsia" w:ascii="Calibri" w:hAnsi="Calibri" w:eastAsia="仿宋_GB2312" w:cs="Times New Roman"/>
          <w:color w:val="auto"/>
          <w:kern w:val="2"/>
          <w:sz w:val="32"/>
          <w:szCs w:val="24"/>
          <w:highlight w:val="none"/>
          <w:lang w:val="en-US" w:eastAsia="zh-CN" w:bidi="ar-SA"/>
        </w:rPr>
        <w:t>调节金征收主体为相城区人民政府，由</w:t>
      </w:r>
      <w:r>
        <w:rPr>
          <w:rFonts w:hint="eastAsia" w:ascii="Calibri" w:hAnsi="Calibri" w:eastAsia="仿宋_GB2312" w:cs="Times New Roman"/>
          <w:color w:val="auto"/>
          <w:kern w:val="0"/>
          <w:sz w:val="32"/>
          <w:szCs w:val="20"/>
          <w:highlight w:val="none"/>
          <w:lang w:eastAsia="zh-CN"/>
        </w:rPr>
        <w:t>区财政局</w:t>
      </w:r>
      <w:r>
        <w:rPr>
          <w:rFonts w:hint="eastAsia" w:ascii="Calibri" w:hAnsi="Calibri" w:eastAsia="仿宋_GB2312" w:cs="Times New Roman"/>
          <w:color w:val="auto"/>
          <w:kern w:val="2"/>
          <w:sz w:val="32"/>
          <w:szCs w:val="24"/>
          <w:highlight w:val="none"/>
          <w:lang w:val="en-US" w:eastAsia="zh-CN" w:bidi="ar-SA"/>
        </w:rPr>
        <w:t>会同</w:t>
      </w:r>
      <w:r>
        <w:rPr>
          <w:rFonts w:hint="eastAsia" w:cs="Times New Roman"/>
          <w:color w:val="auto"/>
          <w:kern w:val="2"/>
          <w:sz w:val="32"/>
          <w:szCs w:val="24"/>
          <w:highlight w:val="none"/>
          <w:lang w:val="en-US" w:eastAsia="zh-CN" w:bidi="ar-SA"/>
        </w:rPr>
        <w:t>区资规分局</w:t>
      </w:r>
      <w:r>
        <w:rPr>
          <w:rFonts w:hint="eastAsia" w:ascii="Calibri" w:hAnsi="Calibri" w:eastAsia="仿宋_GB2312" w:cs="Times New Roman"/>
          <w:color w:val="auto"/>
          <w:kern w:val="2"/>
          <w:sz w:val="32"/>
          <w:szCs w:val="24"/>
          <w:highlight w:val="none"/>
          <w:lang w:val="en-US" w:eastAsia="zh-CN" w:bidi="ar-SA"/>
        </w:rPr>
        <w:t>负责组织征收。</w:t>
      </w:r>
    </w:p>
    <w:p w14:paraId="67A562F7">
      <w:pPr>
        <w:pStyle w:val="5"/>
        <w:widowControl/>
        <w:rPr>
          <w:rFonts w:hint="eastAsia" w:ascii="Calibri" w:hAnsi="Calibri" w:eastAsia="仿宋_GB2312" w:cs="Times New Roman"/>
          <w:color w:val="auto"/>
          <w:kern w:val="2"/>
          <w:sz w:val="32"/>
          <w:szCs w:val="24"/>
          <w:highlight w:val="none"/>
          <w:lang w:val="en-US" w:eastAsia="zh-CN" w:bidi="ar-SA"/>
        </w:rPr>
      </w:pPr>
      <w:r>
        <w:rPr>
          <w:rFonts w:hint="eastAsia" w:ascii="Calibri" w:hAnsi="Calibri" w:eastAsia="仿宋_GB2312" w:cs="Times New Roman"/>
          <w:color w:val="auto"/>
          <w:kern w:val="2"/>
          <w:sz w:val="32"/>
          <w:szCs w:val="24"/>
          <w:highlight w:val="none"/>
          <w:lang w:val="en-US" w:eastAsia="zh-CN" w:bidi="ar-SA"/>
        </w:rPr>
        <w:t>调节金由农村集体经营性建设用地的出让方、租赁方、作价出资（入股）方及再转让方缴纳。</w:t>
      </w:r>
    </w:p>
    <w:p w14:paraId="3481BC26">
      <w:pPr>
        <w:pStyle w:val="5"/>
        <w:spacing w:line="560" w:lineRule="exact"/>
        <w:ind w:left="11" w:right="57" w:firstLine="643"/>
        <w:rPr>
          <w:rFonts w:hint="eastAsia" w:ascii="仿宋_GB2312" w:hAnsi="仿宋_GB2312" w:eastAsia="仿宋_GB2312" w:cs="仿宋_GB2312"/>
          <w:color w:val="auto"/>
          <w:kern w:val="0"/>
          <w:sz w:val="32"/>
          <w:szCs w:val="32"/>
          <w:highlight w:val="none"/>
          <w:lang w:val="en-US" w:eastAsia="zh-CN" w:bidi="ar"/>
        </w:rPr>
      </w:pPr>
      <w:r>
        <w:rPr>
          <w:rFonts w:hint="eastAsia" w:ascii="Calibri" w:hAnsi="Calibri" w:eastAsia="仿宋_GB2312" w:cs="Times New Roman"/>
          <w:b/>
          <w:color w:val="auto"/>
          <w:kern w:val="0"/>
          <w:sz w:val="32"/>
          <w:szCs w:val="20"/>
          <w:highlight w:val="none"/>
          <w:lang w:val="en-US" w:eastAsia="zh-CN" w:bidi="ar-SA"/>
        </w:rPr>
        <w:t>第二十八条</w:t>
      </w:r>
      <w:r>
        <w:rPr>
          <w:rFonts w:hint="eastAsia" w:ascii="Calibri" w:hAnsi="Calibri" w:eastAsia="仿宋_GB2312" w:cs="Times New Roman"/>
          <w:b/>
          <w:color w:val="auto"/>
          <w:sz w:val="32"/>
          <w:highlight w:val="none"/>
        </w:rPr>
        <w:t xml:space="preserve"> </w:t>
      </w:r>
      <w:r>
        <w:t>相城区区域内的农村集体</w:t>
      </w:r>
      <w:r>
        <w:rPr>
          <w:rFonts w:hint="eastAsia"/>
        </w:rPr>
        <w:t>经济组织通过</w:t>
      </w:r>
      <w:r>
        <w:t>出让、租赁、作价出资（入股）等</w:t>
      </w:r>
      <w:r>
        <w:rPr>
          <w:rFonts w:hint="eastAsia"/>
        </w:rPr>
        <w:t>方式取得农村集体经营性建设用地入市收益</w:t>
      </w:r>
      <w:r>
        <w:t>，以及入市后的农村集体经营性建设用地土地使用权人，</w:t>
      </w:r>
      <w:r>
        <w:rPr>
          <w:rFonts w:hint="eastAsia"/>
        </w:rPr>
        <w:t>以</w:t>
      </w:r>
      <w:r>
        <w:t>出售、交换、</w:t>
      </w:r>
      <w:r>
        <w:rPr>
          <w:rFonts w:hint="eastAsia"/>
          <w:lang w:eastAsia="zh-CN"/>
        </w:rPr>
        <w:t>赠</w:t>
      </w:r>
      <w:r>
        <w:rPr>
          <w:rFonts w:hint="eastAsia"/>
          <w:lang w:val="en-US" w:eastAsia="zh-CN"/>
        </w:rPr>
        <w:t>与</w:t>
      </w:r>
      <w:r>
        <w:t>、出租、作价出资（入股）或其他视同转让等</w:t>
      </w:r>
      <w:r>
        <w:rPr>
          <w:rFonts w:hint="eastAsia"/>
        </w:rPr>
        <w:t>方式取得再转让收益时</w:t>
      </w:r>
      <w:r>
        <w:t>，都应当依照本办法缴纳调节金。</w:t>
      </w:r>
    </w:p>
    <w:p w14:paraId="28EDB0E6">
      <w:pPr>
        <w:pStyle w:val="5"/>
        <w:widowControl/>
        <w:ind w:firstLineChars="0"/>
      </w:pPr>
      <w:r>
        <w:rPr>
          <w:rFonts w:hint="eastAsia" w:ascii="Calibri" w:hAnsi="Calibri" w:eastAsia="仿宋_GB2312" w:cs="Times New Roman"/>
          <w:b/>
          <w:color w:val="auto"/>
          <w:kern w:val="0"/>
          <w:sz w:val="32"/>
          <w:szCs w:val="20"/>
          <w:highlight w:val="none"/>
          <w:lang w:val="en-US" w:eastAsia="zh-CN" w:bidi="ar-SA"/>
        </w:rPr>
        <w:t>第二十九条</w:t>
      </w:r>
      <w:r>
        <w:rPr>
          <w:rFonts w:hint="eastAsia" w:ascii="Calibri" w:hAnsi="Calibri" w:eastAsia="仿宋_GB2312" w:cs="Times New Roman"/>
          <w:b/>
          <w:color w:val="auto"/>
          <w:sz w:val="32"/>
          <w:highlight w:val="none"/>
        </w:rPr>
        <w:t xml:space="preserve"> </w:t>
      </w:r>
      <w:r>
        <w:t>农村集体经济组织将集体经营性建设用地使用权出让、租赁、作价出资（入股）的，按以下方式缴纳调节金。</w:t>
      </w:r>
    </w:p>
    <w:p w14:paraId="41A82991">
      <w:pPr>
        <w:pStyle w:val="5"/>
        <w:widowControl/>
        <w:ind w:firstLineChars="0"/>
      </w:pPr>
      <w:r>
        <w:t>（一）以出让方式和作价出资（入股）方式入市的，按成交价的20%缴纳。作价出资（入股）的成交价格与</w:t>
      </w:r>
      <w:r>
        <w:rPr>
          <w:rFonts w:hint="eastAsia"/>
          <w:lang w:val="en-US" w:eastAsia="zh-CN"/>
        </w:rPr>
        <w:t>区资规分局</w:t>
      </w:r>
      <w:r>
        <w:t>审核确认的评估</w:t>
      </w:r>
      <w:r>
        <w:rPr>
          <w:rFonts w:hint="eastAsia"/>
          <w:lang w:eastAsia="zh-CN"/>
        </w:rPr>
        <w:t>价格</w:t>
      </w:r>
      <w:r>
        <w:t>不一致的，以价格高者为准。</w:t>
      </w:r>
    </w:p>
    <w:p w14:paraId="6B4F7A7D">
      <w:pPr>
        <w:pStyle w:val="5"/>
        <w:widowControl/>
        <w:ind w:firstLineChars="0"/>
      </w:pPr>
      <w:r>
        <w:t>（二）以租赁方式入市的，在取得租金收入时，按照收入的20%缴纳。</w:t>
      </w:r>
    </w:p>
    <w:p w14:paraId="6EB9EFC5">
      <w:pPr>
        <w:pStyle w:val="5"/>
        <w:widowControl/>
        <w:ind w:firstLineChars="0"/>
        <w:rPr>
          <w:rFonts w:hint="eastAsia" w:ascii="仿宋_GB2312" w:hAnsi="仿宋_GB2312" w:eastAsia="仿宋_GB2312" w:cs="仿宋_GB2312"/>
          <w:color w:val="auto"/>
          <w:kern w:val="0"/>
          <w:sz w:val="32"/>
          <w:szCs w:val="32"/>
          <w:highlight w:val="none"/>
          <w:lang w:val="en-US" w:eastAsia="zh-CN" w:bidi="ar"/>
        </w:rPr>
      </w:pPr>
      <w:r>
        <w:rPr>
          <w:rFonts w:hint="eastAsia"/>
        </w:rPr>
        <w:t>入市</w:t>
      </w:r>
      <w:r>
        <w:t>的农村集体经营性建设用地再转让的，</w:t>
      </w:r>
      <w:r>
        <w:rPr>
          <w:rFonts w:hint="eastAsia"/>
        </w:rPr>
        <w:t>调节金参照国有建设用地土地增值税标准征收。</w:t>
      </w:r>
    </w:p>
    <w:p w14:paraId="0FD07C7A">
      <w:pPr>
        <w:pStyle w:val="5"/>
        <w:widowControl/>
        <w:rPr>
          <w:rFonts w:hint="eastAsia" w:ascii="Calibri" w:hAnsi="Calibri" w:eastAsia="仿宋_GB2312" w:cs="Times New Roman"/>
          <w:b/>
          <w:color w:val="auto"/>
          <w:sz w:val="32"/>
          <w:highlight w:val="none"/>
        </w:rPr>
      </w:pPr>
      <w:r>
        <w:rPr>
          <w:rFonts w:hint="eastAsia" w:ascii="Calibri" w:hAnsi="Calibri" w:eastAsia="仿宋_GB2312" w:cs="Times New Roman"/>
          <w:b/>
          <w:color w:val="auto"/>
          <w:kern w:val="0"/>
          <w:sz w:val="32"/>
          <w:szCs w:val="20"/>
          <w:highlight w:val="none"/>
          <w:lang w:val="en-US" w:eastAsia="zh-CN" w:bidi="ar-SA"/>
        </w:rPr>
        <w:t>第三十条</w:t>
      </w:r>
      <w:r>
        <w:rPr>
          <w:rFonts w:hint="eastAsia" w:ascii="Calibri" w:hAnsi="Calibri" w:eastAsia="仿宋_GB2312" w:cs="Times New Roman"/>
          <w:b/>
          <w:color w:val="auto"/>
          <w:sz w:val="32"/>
          <w:highlight w:val="none"/>
        </w:rPr>
        <w:t xml:space="preserve"> </w:t>
      </w:r>
      <w:r>
        <w:rPr>
          <w:rFonts w:hint="eastAsia"/>
        </w:rPr>
        <w:t>农村</w:t>
      </w:r>
      <w:r>
        <w:t>集体经济组织将集体经营性建设用地入市，发生出让、出租和作价出资（入股）等交易行为</w:t>
      </w:r>
      <w:r>
        <w:rPr>
          <w:rFonts w:hint="eastAsia"/>
        </w:rPr>
        <w:t>及依法取得的使用权再转让</w:t>
      </w:r>
      <w:r>
        <w:t>的，交易双方按照相关规定缴纳各项税费。</w:t>
      </w:r>
    </w:p>
    <w:p w14:paraId="056312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left"/>
        <w:rPr>
          <w:rFonts w:hint="eastAsia" w:ascii="Calibri" w:hAnsi="Calibri" w:eastAsia="仿宋_GB2312" w:cs="Times New Roman"/>
          <w:kern w:val="2"/>
          <w:sz w:val="32"/>
          <w:szCs w:val="24"/>
          <w:lang w:val="en-US" w:eastAsia="zh-CN" w:bidi="ar-SA"/>
        </w:rPr>
      </w:pPr>
      <w:r>
        <w:rPr>
          <w:rFonts w:hint="eastAsia" w:ascii="Calibri" w:hAnsi="Calibri" w:eastAsia="仿宋_GB2312" w:cs="Times New Roman"/>
          <w:b/>
          <w:color w:val="auto"/>
          <w:kern w:val="0"/>
          <w:sz w:val="32"/>
          <w:szCs w:val="20"/>
          <w:highlight w:val="none"/>
          <w:lang w:val="en-US" w:eastAsia="zh-CN" w:bidi="ar-SA"/>
        </w:rPr>
        <w:t>第三十一条</w:t>
      </w:r>
      <w:r>
        <w:rPr>
          <w:rFonts w:hint="eastAsia" w:ascii="Calibri" w:hAnsi="Calibri" w:eastAsia="仿宋_GB2312" w:cs="Times New Roman"/>
          <w:b/>
          <w:color w:val="auto"/>
          <w:sz w:val="32"/>
          <w:highlight w:val="none"/>
          <w:lang w:val="en-US" w:eastAsia="zh-CN"/>
        </w:rPr>
        <w:t xml:space="preserve"> </w:t>
      </w:r>
      <w:r>
        <w:rPr>
          <w:rFonts w:hint="eastAsia" w:ascii="Calibri" w:hAnsi="Calibri" w:eastAsia="仿宋_GB2312" w:cs="Times New Roman"/>
          <w:kern w:val="2"/>
          <w:sz w:val="32"/>
          <w:szCs w:val="24"/>
          <w:lang w:val="en-US" w:eastAsia="zh-CN" w:bidi="ar-SA"/>
        </w:rPr>
        <w:t>按照政府非税收入管理有关规定，调节金由区资规分局代扣代缴，资金全额上缴区财政，纳入一般公共预算管理。</w:t>
      </w:r>
    </w:p>
    <w:p w14:paraId="4085CC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left"/>
        <w:rPr>
          <w:rFonts w:hint="eastAsia" w:ascii="Calibri" w:hAnsi="Calibri" w:eastAsia="仿宋_GB2312" w:cs="Times New Roman"/>
          <w:kern w:val="2"/>
          <w:sz w:val="32"/>
          <w:szCs w:val="24"/>
          <w:lang w:val="en-US" w:eastAsia="zh-CN" w:bidi="ar-SA"/>
        </w:rPr>
      </w:pPr>
      <w:r>
        <w:rPr>
          <w:rFonts w:hint="eastAsia" w:ascii="Calibri" w:hAnsi="Calibri" w:eastAsia="仿宋_GB2312" w:cs="Times New Roman"/>
          <w:b/>
          <w:color w:val="auto"/>
          <w:kern w:val="0"/>
          <w:sz w:val="32"/>
          <w:szCs w:val="20"/>
          <w:highlight w:val="none"/>
          <w:lang w:val="en-US" w:eastAsia="zh-CN" w:bidi="ar-SA"/>
        </w:rPr>
        <w:t>第三十二条</w:t>
      </w:r>
      <w:r>
        <w:rPr>
          <w:rFonts w:hint="eastAsia" w:ascii="Calibri" w:hAnsi="Calibri" w:eastAsia="仿宋_GB2312" w:cs="Times New Roman"/>
          <w:b/>
          <w:color w:val="auto"/>
          <w:sz w:val="32"/>
          <w:highlight w:val="none"/>
          <w:lang w:val="en-US" w:eastAsia="zh-CN"/>
        </w:rPr>
        <w:t xml:space="preserve"> </w:t>
      </w:r>
      <w:r>
        <w:rPr>
          <w:rFonts w:hint="eastAsia" w:ascii="Calibri" w:hAnsi="Calibri" w:eastAsia="仿宋_GB2312" w:cs="Times New Roman"/>
          <w:kern w:val="2"/>
          <w:sz w:val="32"/>
          <w:szCs w:val="24"/>
          <w:lang w:val="en-US" w:eastAsia="zh-CN" w:bidi="ar-SA"/>
        </w:rPr>
        <w:t>调节金缴纳时间和收缴方式。</w:t>
      </w:r>
    </w:p>
    <w:p w14:paraId="531834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left"/>
        <w:rPr>
          <w:rFonts w:hint="eastAsia" w:ascii="Calibri" w:hAnsi="Calibri" w:eastAsia="仿宋_GB2312" w:cs="Times New Roman"/>
          <w:kern w:val="2"/>
          <w:sz w:val="32"/>
          <w:szCs w:val="24"/>
          <w:lang w:val="en-US" w:eastAsia="zh-CN" w:bidi="ar-SA"/>
        </w:rPr>
      </w:pPr>
      <w:r>
        <w:rPr>
          <w:rFonts w:hint="eastAsia" w:ascii="Calibri" w:hAnsi="Calibri" w:eastAsia="仿宋_GB2312" w:cs="Times New Roman"/>
          <w:kern w:val="2"/>
          <w:sz w:val="32"/>
          <w:szCs w:val="24"/>
          <w:lang w:val="en-US" w:eastAsia="zh-CN" w:bidi="ar-SA"/>
        </w:rPr>
        <w:t>（一）集体经营性建设用地以出让、出租等有偿使用方式入市的，调节金由</w:t>
      </w:r>
      <w:r>
        <w:rPr>
          <w:rFonts w:hint="eastAsia" w:ascii="Calibri" w:hAnsi="Calibri" w:eastAsia="仿宋_GB2312" w:cs="Times New Roman"/>
          <w:color w:val="auto"/>
          <w:kern w:val="0"/>
          <w:sz w:val="32"/>
          <w:szCs w:val="20"/>
          <w:highlight w:val="none"/>
          <w:lang w:eastAsia="zh-CN"/>
        </w:rPr>
        <w:t>区财政局</w:t>
      </w:r>
      <w:r>
        <w:rPr>
          <w:rFonts w:hint="eastAsia" w:ascii="Calibri" w:hAnsi="Calibri" w:eastAsia="仿宋_GB2312" w:cs="Times New Roman"/>
          <w:kern w:val="2"/>
          <w:sz w:val="32"/>
          <w:szCs w:val="24"/>
          <w:lang w:val="en-US" w:eastAsia="zh-CN" w:bidi="ar-SA"/>
        </w:rPr>
        <w:t>会同区资规分局在成交价款中按对应征收标准进行代扣代缴。</w:t>
      </w:r>
    </w:p>
    <w:p w14:paraId="746132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left"/>
        <w:rPr>
          <w:rFonts w:hint="eastAsia" w:ascii="Calibri" w:hAnsi="Calibri" w:eastAsia="仿宋_GB2312" w:cs="Times New Roman"/>
          <w:kern w:val="2"/>
          <w:sz w:val="32"/>
          <w:szCs w:val="24"/>
          <w:lang w:val="en-US" w:eastAsia="zh-CN" w:bidi="ar-SA"/>
        </w:rPr>
      </w:pPr>
      <w:r>
        <w:rPr>
          <w:rFonts w:hint="eastAsia" w:ascii="Calibri" w:hAnsi="Calibri" w:eastAsia="仿宋_GB2312" w:cs="Times New Roman"/>
          <w:kern w:val="2"/>
          <w:sz w:val="32"/>
          <w:szCs w:val="24"/>
          <w:lang w:val="en-US" w:eastAsia="zh-CN" w:bidi="ar-SA"/>
        </w:rPr>
        <w:t>（二）集体经营性建设用地以作价出资（入股）等有偿使用方式入市的，调节金由集体经济组织在签订合同后10个工作日内按规定缴纳调节金。</w:t>
      </w:r>
    </w:p>
    <w:p w14:paraId="0AD74B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left"/>
        <w:rPr>
          <w:rFonts w:hint="eastAsia" w:ascii="Calibri" w:hAnsi="Calibri" w:eastAsia="仿宋_GB2312" w:cs="Times New Roman"/>
          <w:kern w:val="2"/>
          <w:sz w:val="32"/>
          <w:szCs w:val="24"/>
          <w:lang w:val="en-US" w:eastAsia="zh-CN" w:bidi="ar-SA"/>
        </w:rPr>
      </w:pPr>
      <w:r>
        <w:rPr>
          <w:rFonts w:hint="eastAsia" w:ascii="Calibri" w:hAnsi="Calibri" w:eastAsia="仿宋_GB2312" w:cs="Times New Roman"/>
          <w:kern w:val="2"/>
          <w:sz w:val="32"/>
          <w:szCs w:val="24"/>
          <w:lang w:val="en-US" w:eastAsia="zh-CN" w:bidi="ar-SA"/>
        </w:rPr>
        <w:t>（三）集体经营性建设用地再转让的，由转让方在签订合同后10个工作日内按规定缴纳调节金。</w:t>
      </w:r>
    </w:p>
    <w:p w14:paraId="2DE4F2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left"/>
        <w:rPr>
          <w:rFonts w:hint="eastAsia" w:ascii="Calibri" w:hAnsi="Calibri" w:eastAsia="仿宋_GB2312" w:cs="Times New Roman"/>
          <w:kern w:val="2"/>
          <w:sz w:val="32"/>
          <w:szCs w:val="24"/>
          <w:lang w:val="en-US" w:eastAsia="zh-CN" w:bidi="ar-SA"/>
        </w:rPr>
      </w:pPr>
      <w:r>
        <w:rPr>
          <w:rFonts w:hint="eastAsia" w:ascii="Calibri" w:hAnsi="Calibri" w:eastAsia="仿宋_GB2312" w:cs="Times New Roman"/>
          <w:b/>
          <w:color w:val="auto"/>
          <w:kern w:val="0"/>
          <w:sz w:val="32"/>
          <w:szCs w:val="20"/>
          <w:highlight w:val="none"/>
          <w:lang w:val="en-US" w:eastAsia="zh-CN" w:bidi="ar-SA"/>
        </w:rPr>
        <w:t>第三十三条</w:t>
      </w:r>
      <w:r>
        <w:rPr>
          <w:rFonts w:hint="eastAsia" w:ascii="Calibri" w:hAnsi="Calibri" w:eastAsia="仿宋_GB2312" w:cs="Times New Roman"/>
          <w:b/>
          <w:color w:val="auto"/>
          <w:sz w:val="32"/>
          <w:highlight w:val="none"/>
          <w:lang w:val="en-US" w:eastAsia="zh-CN"/>
        </w:rPr>
        <w:t xml:space="preserve"> </w:t>
      </w:r>
      <w:r>
        <w:rPr>
          <w:rFonts w:hint="eastAsia" w:ascii="Calibri" w:hAnsi="Calibri" w:eastAsia="仿宋_GB2312" w:cs="Times New Roman"/>
          <w:kern w:val="2"/>
          <w:sz w:val="32"/>
          <w:szCs w:val="24"/>
          <w:lang w:val="en-US" w:eastAsia="zh-CN" w:bidi="ar-SA"/>
        </w:rPr>
        <w:t>调节金主要统筹用于城镇和农村基础设施建设、农村环境整治、生态补偿、土地复垦以及对农村经济困难群众的社保补助和特困救助等支出。</w:t>
      </w:r>
    </w:p>
    <w:p w14:paraId="011C45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left"/>
        <w:rPr>
          <w:rFonts w:hint="eastAsia" w:ascii="Calibri" w:hAnsi="Calibri" w:eastAsia="仿宋_GB2312" w:cs="Times New Roman"/>
          <w:kern w:val="2"/>
          <w:sz w:val="32"/>
          <w:szCs w:val="24"/>
          <w:lang w:val="en-US" w:eastAsia="zh-CN" w:bidi="ar-SA"/>
        </w:rPr>
      </w:pPr>
      <w:r>
        <w:rPr>
          <w:rFonts w:hint="eastAsia" w:ascii="Calibri" w:hAnsi="Calibri" w:eastAsia="仿宋_GB2312" w:cs="Times New Roman"/>
          <w:b/>
          <w:color w:val="auto"/>
          <w:kern w:val="0"/>
          <w:sz w:val="32"/>
          <w:szCs w:val="20"/>
          <w:highlight w:val="none"/>
          <w:lang w:val="en-US" w:eastAsia="zh-CN" w:bidi="ar-SA"/>
        </w:rPr>
        <w:t>第三十四条</w:t>
      </w:r>
      <w:r>
        <w:rPr>
          <w:rFonts w:hint="eastAsia" w:ascii="Calibri" w:hAnsi="Calibri" w:eastAsia="仿宋_GB2312" w:cs="Times New Roman"/>
          <w:b/>
          <w:bCs/>
          <w:color w:val="auto"/>
          <w:kern w:val="0"/>
          <w:sz w:val="32"/>
          <w:szCs w:val="20"/>
          <w:highlight w:val="none"/>
        </w:rPr>
        <w:t xml:space="preserve"> </w:t>
      </w:r>
      <w:r>
        <w:rPr>
          <w:rFonts w:hint="eastAsia" w:ascii="Calibri" w:hAnsi="Calibri" w:eastAsia="仿宋_GB2312" w:cs="Times New Roman"/>
          <w:color w:val="auto"/>
          <w:kern w:val="0"/>
          <w:sz w:val="32"/>
          <w:szCs w:val="20"/>
          <w:highlight w:val="none"/>
          <w:lang w:eastAsia="zh-CN"/>
        </w:rPr>
        <w:t>区财政局</w:t>
      </w:r>
      <w:r>
        <w:rPr>
          <w:rFonts w:hint="eastAsia" w:ascii="Calibri" w:hAnsi="Calibri" w:eastAsia="仿宋_GB2312" w:cs="Times New Roman"/>
          <w:kern w:val="2"/>
          <w:sz w:val="32"/>
          <w:szCs w:val="24"/>
          <w:lang w:val="en-US" w:eastAsia="zh-CN" w:bidi="ar-SA"/>
        </w:rPr>
        <w:t>会同区资规分局代扣代缴调节金的，因土地使用者不按时足额缴纳土地出让价款产生的违约金，按成交土地对应的调节金征收标准征收调节金。调节金缴纳义务人未按规定及时足额缴纳调节金的，按日加收未缴调节金额万分之五的滞纳金，滞纳金随同调节金一并缴入地方国库。</w:t>
      </w:r>
    </w:p>
    <w:p w14:paraId="34D020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3" w:firstLineChars="200"/>
        <w:jc w:val="left"/>
        <w:rPr>
          <w:rFonts w:hint="eastAsia" w:ascii="Calibri" w:hAnsi="Calibri" w:eastAsia="仿宋_GB2312" w:cs="Times New Roman"/>
          <w:kern w:val="2"/>
          <w:sz w:val="32"/>
          <w:szCs w:val="24"/>
          <w:lang w:val="en-US" w:eastAsia="zh-CN" w:bidi="ar-SA"/>
        </w:rPr>
      </w:pPr>
      <w:r>
        <w:rPr>
          <w:rFonts w:hint="eastAsia" w:ascii="Calibri" w:hAnsi="Calibri" w:eastAsia="仿宋_GB2312" w:cs="Times New Roman"/>
          <w:b/>
          <w:color w:val="auto"/>
          <w:kern w:val="0"/>
          <w:sz w:val="32"/>
          <w:szCs w:val="20"/>
          <w:highlight w:val="none"/>
          <w:lang w:val="en-US" w:eastAsia="zh-CN" w:bidi="ar-SA"/>
        </w:rPr>
        <w:t>第三十五条</w:t>
      </w:r>
      <w:r>
        <w:rPr>
          <w:rFonts w:hint="eastAsia" w:ascii="Calibri" w:hAnsi="Calibri" w:eastAsia="仿宋_GB2312" w:cs="Times New Roman"/>
          <w:b/>
          <w:bCs/>
          <w:color w:val="auto"/>
          <w:kern w:val="0"/>
          <w:sz w:val="32"/>
          <w:szCs w:val="20"/>
          <w:highlight w:val="none"/>
          <w:lang w:val="en-US" w:eastAsia="zh-CN"/>
        </w:rPr>
        <w:t xml:space="preserve"> </w:t>
      </w:r>
      <w:r>
        <w:rPr>
          <w:rFonts w:hint="eastAsia" w:ascii="Calibri" w:hAnsi="Calibri" w:eastAsia="仿宋_GB2312" w:cs="Times New Roman"/>
          <w:kern w:val="2"/>
          <w:sz w:val="32"/>
          <w:szCs w:val="24"/>
          <w:lang w:val="en-US" w:eastAsia="zh-CN" w:bidi="ar-SA"/>
        </w:rPr>
        <w:t>单位和个人违反本办法规定，依照《财政违法行为处罚处分条例》和《违反行政事业性收费和罚没收入收支两条线管理规定行政处分暂行规定》等国家有关规定追究法律责任；涉嫌犯罪的，依法移送司法机关处理。</w:t>
      </w:r>
    </w:p>
    <w:p w14:paraId="30D87C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left"/>
        <w:rPr>
          <w:rFonts w:hint="eastAsia" w:ascii="Calibri" w:hAnsi="Calibri" w:eastAsia="仿宋_GB2312" w:cs="Times New Roman"/>
          <w:kern w:val="2"/>
          <w:sz w:val="32"/>
          <w:szCs w:val="24"/>
          <w:lang w:val="en-US" w:eastAsia="zh-CN" w:bidi="ar-SA"/>
        </w:rPr>
      </w:pPr>
    </w:p>
    <w:p w14:paraId="5E9CBDDB">
      <w:pPr>
        <w:pStyle w:val="12"/>
        <w:widowControl/>
        <w:numPr>
          <w:ilvl w:val="0"/>
          <w:numId w:val="0"/>
        </w:numPr>
        <w:ind w:leftChars="0"/>
        <w:rPr>
          <w:rFonts w:hint="eastAsia"/>
          <w:color w:val="auto"/>
          <w:highlight w:val="none"/>
          <w:lang w:eastAsia="zh-CN"/>
        </w:rPr>
      </w:pPr>
      <w:r>
        <w:rPr>
          <w:rFonts w:hint="eastAsia"/>
          <w:color w:val="auto"/>
          <w:highlight w:val="none"/>
          <w:lang w:eastAsia="zh-CN"/>
        </w:rPr>
        <w:t>第</w:t>
      </w:r>
      <w:r>
        <w:rPr>
          <w:rFonts w:hint="eastAsia"/>
          <w:color w:val="auto"/>
          <w:highlight w:val="none"/>
          <w:lang w:val="en-US" w:eastAsia="zh-CN"/>
        </w:rPr>
        <w:t>九</w:t>
      </w:r>
      <w:r>
        <w:rPr>
          <w:rFonts w:hint="eastAsia"/>
          <w:color w:val="auto"/>
          <w:highlight w:val="none"/>
          <w:lang w:eastAsia="zh-CN"/>
        </w:rPr>
        <w:t>章 集体收益分配管理</w:t>
      </w:r>
    </w:p>
    <w:p w14:paraId="13CCFA12">
      <w:pPr>
        <w:spacing w:line="579" w:lineRule="exact"/>
        <w:ind w:firstLine="643" w:firstLineChars="200"/>
        <w:rPr>
          <w:rFonts w:hint="eastAsia" w:ascii="Calibri" w:hAnsi="Calibri" w:eastAsia="仿宋_GB2312" w:cs="Times New Roman"/>
          <w:color w:val="auto"/>
          <w:kern w:val="0"/>
          <w:sz w:val="32"/>
          <w:szCs w:val="20"/>
          <w:highlight w:val="none"/>
          <w:lang w:eastAsia="zh-CN"/>
        </w:rPr>
      </w:pPr>
      <w:r>
        <w:rPr>
          <w:rFonts w:hint="eastAsia" w:ascii="Calibri" w:hAnsi="Calibri" w:eastAsia="仿宋_GB2312" w:cs="Times New Roman"/>
          <w:b/>
          <w:color w:val="auto"/>
          <w:kern w:val="2"/>
          <w:sz w:val="32"/>
          <w:szCs w:val="24"/>
          <w:highlight w:val="none"/>
          <w:lang w:val="en-US" w:eastAsia="zh-CN" w:bidi="ar-SA"/>
        </w:rPr>
        <w:t>第三十六条</w:t>
      </w:r>
      <w:r>
        <w:rPr>
          <w:rFonts w:hint="eastAsia" w:ascii="Calibri" w:hAnsi="Calibri" w:eastAsia="仿宋_GB2312" w:cs="Times New Roman"/>
          <w:b/>
          <w:color w:val="auto"/>
          <w:sz w:val="32"/>
          <w:highlight w:val="none"/>
        </w:rPr>
        <w:t xml:space="preserve"> </w:t>
      </w:r>
      <w:r>
        <w:rPr>
          <w:rFonts w:hint="eastAsia" w:ascii="Calibri" w:hAnsi="Calibri" w:eastAsia="仿宋_GB2312" w:cs="Times New Roman"/>
          <w:color w:val="auto"/>
          <w:kern w:val="0"/>
          <w:sz w:val="32"/>
          <w:szCs w:val="20"/>
          <w:highlight w:val="none"/>
        </w:rPr>
        <w:t>农村集体经营性建设用地</w:t>
      </w:r>
      <w:r>
        <w:rPr>
          <w:rFonts w:hint="eastAsia" w:ascii="Calibri" w:hAnsi="Calibri" w:eastAsia="仿宋_GB2312" w:cs="Times New Roman"/>
          <w:color w:val="auto"/>
          <w:kern w:val="0"/>
          <w:sz w:val="32"/>
          <w:szCs w:val="20"/>
          <w:highlight w:val="none"/>
          <w:lang w:eastAsia="zh-CN"/>
        </w:rPr>
        <w:t>入市净收益按集体土地所有权归属分配，属镇集体所有的，其入市净收益应由镇级集体经济组织（集体资产经营公司）进行日常管理，由镇财政部门监督管理；属村集体所有的，其入市净收益应由村级集体经济组织进行日常管理，由各镇农村集体资产管理部门做好日常监督管理工作。</w:t>
      </w:r>
    </w:p>
    <w:p w14:paraId="06918CD2">
      <w:pPr>
        <w:spacing w:line="579" w:lineRule="exact"/>
        <w:ind w:firstLine="643" w:firstLineChars="200"/>
        <w:rPr>
          <w:rFonts w:hint="eastAsia" w:ascii="Calibri" w:hAnsi="Calibri" w:eastAsia="仿宋_GB2312" w:cs="Times New Roman"/>
          <w:color w:val="auto"/>
          <w:kern w:val="0"/>
          <w:sz w:val="32"/>
          <w:szCs w:val="20"/>
          <w:highlight w:val="none"/>
          <w:lang w:eastAsia="zh-CN"/>
        </w:rPr>
      </w:pPr>
      <w:r>
        <w:rPr>
          <w:rFonts w:hint="eastAsia" w:ascii="Calibri" w:hAnsi="Calibri" w:eastAsia="仿宋_GB2312" w:cs="Times New Roman"/>
          <w:b/>
          <w:color w:val="auto"/>
          <w:kern w:val="2"/>
          <w:sz w:val="32"/>
          <w:szCs w:val="24"/>
          <w:highlight w:val="none"/>
          <w:lang w:val="en-US" w:eastAsia="zh-CN" w:bidi="ar-SA"/>
        </w:rPr>
        <w:t>第三十七条</w:t>
      </w:r>
      <w:r>
        <w:rPr>
          <w:rFonts w:hint="eastAsia" w:ascii="Calibri" w:hAnsi="Calibri" w:eastAsia="仿宋_GB2312" w:cs="Times New Roman"/>
          <w:b/>
          <w:color w:val="auto"/>
          <w:sz w:val="32"/>
          <w:highlight w:val="none"/>
          <w:lang w:val="en-US" w:eastAsia="zh-CN"/>
        </w:rPr>
        <w:t xml:space="preserve"> </w:t>
      </w:r>
      <w:r>
        <w:rPr>
          <w:rFonts w:hint="eastAsia" w:ascii="Calibri" w:hAnsi="Calibri" w:eastAsia="仿宋_GB2312" w:cs="Times New Roman"/>
          <w:color w:val="auto"/>
          <w:kern w:val="0"/>
          <w:sz w:val="32"/>
          <w:szCs w:val="20"/>
          <w:highlight w:val="none"/>
          <w:lang w:eastAsia="zh-CN"/>
        </w:rPr>
        <w:t>集体留存部分为农村集体经济组织将集体经营性建设用地使用权，通过出让、出租、作价出资（入股）等方式入市交易总价款扣除调节金、取得成</w:t>
      </w:r>
      <w:r>
        <w:rPr>
          <w:rFonts w:hint="eastAsia" w:ascii="Calibri" w:hAnsi="Calibri" w:eastAsia="仿宋_GB2312" w:cs="Times New Roman"/>
          <w:color w:val="auto"/>
          <w:kern w:val="0"/>
          <w:sz w:val="32"/>
          <w:szCs w:val="20"/>
          <w:highlight w:val="none"/>
        </w:rPr>
        <w:t>本和土地开发支出等相关费用后的收益，以及再转让环节的再转让收入扣除调节金、取得成本和土地开发支出后的收益。取得成本包含相关税费与补偿安置费用。补偿安置费用按照</w:t>
      </w:r>
      <w:r>
        <w:rPr>
          <w:rFonts w:hint="eastAsia" w:ascii="Calibri" w:hAnsi="Calibri" w:eastAsia="仿宋_GB2312" w:cs="Times New Roman"/>
          <w:color w:val="auto"/>
          <w:kern w:val="0"/>
          <w:sz w:val="32"/>
          <w:szCs w:val="20"/>
          <w:highlight w:val="none"/>
          <w:lang w:eastAsia="zh-CN"/>
        </w:rPr>
        <w:t>相城</w:t>
      </w:r>
      <w:r>
        <w:rPr>
          <w:rFonts w:hint="eastAsia" w:ascii="Calibri" w:hAnsi="Calibri" w:eastAsia="仿宋_GB2312" w:cs="Times New Roman"/>
          <w:color w:val="auto"/>
          <w:kern w:val="0"/>
          <w:sz w:val="32"/>
          <w:szCs w:val="20"/>
          <w:highlight w:val="none"/>
        </w:rPr>
        <w:t>区被征地农民基本生活保障的有关政策核算</w:t>
      </w:r>
      <w:r>
        <w:rPr>
          <w:rFonts w:hint="eastAsia" w:ascii="Calibri" w:hAnsi="Calibri" w:eastAsia="仿宋_GB2312" w:cs="Times New Roman"/>
          <w:color w:val="auto"/>
          <w:kern w:val="0"/>
          <w:sz w:val="32"/>
          <w:szCs w:val="20"/>
          <w:highlight w:val="none"/>
          <w:lang w:eastAsia="zh-CN"/>
        </w:rPr>
        <w:t>。</w:t>
      </w:r>
    </w:p>
    <w:p w14:paraId="1A7A5FBD">
      <w:pPr>
        <w:spacing w:line="579" w:lineRule="exact"/>
        <w:ind w:firstLine="643" w:firstLineChars="200"/>
        <w:rPr>
          <w:rFonts w:hint="eastAsia" w:ascii="Calibri" w:hAnsi="Calibri" w:eastAsia="仿宋_GB2312" w:cs="Times New Roman"/>
          <w:color w:val="auto"/>
          <w:kern w:val="0"/>
          <w:sz w:val="32"/>
          <w:szCs w:val="20"/>
          <w:highlight w:val="none"/>
          <w:lang w:eastAsia="zh-CN"/>
        </w:rPr>
      </w:pPr>
      <w:r>
        <w:rPr>
          <w:rFonts w:hint="eastAsia" w:ascii="Calibri" w:hAnsi="Calibri" w:eastAsia="仿宋_GB2312" w:cs="Times New Roman"/>
          <w:b/>
          <w:color w:val="auto"/>
          <w:kern w:val="2"/>
          <w:sz w:val="32"/>
          <w:szCs w:val="24"/>
          <w:highlight w:val="none"/>
          <w:lang w:val="en-US" w:eastAsia="zh-CN" w:bidi="ar-SA"/>
        </w:rPr>
        <w:t>第三十八条</w:t>
      </w:r>
      <w:r>
        <w:rPr>
          <w:rFonts w:hint="eastAsia" w:cs="Times New Roman"/>
          <w:b/>
          <w:color w:val="auto"/>
          <w:sz w:val="32"/>
          <w:highlight w:val="none"/>
          <w:lang w:val="en-US" w:eastAsia="zh-CN"/>
        </w:rPr>
        <w:t xml:space="preserve"> </w:t>
      </w:r>
      <w:r>
        <w:rPr>
          <w:rFonts w:hint="eastAsia" w:ascii="Calibri" w:hAnsi="Calibri" w:eastAsia="仿宋_GB2312" w:cs="Times New Roman"/>
          <w:color w:val="auto"/>
          <w:kern w:val="0"/>
          <w:sz w:val="32"/>
          <w:szCs w:val="20"/>
          <w:highlight w:val="none"/>
        </w:rPr>
        <w:t>镇集体所有的农村集体经营性建设用地</w:t>
      </w:r>
      <w:r>
        <w:rPr>
          <w:rFonts w:hint="eastAsia" w:ascii="Calibri" w:hAnsi="Calibri" w:eastAsia="仿宋_GB2312" w:cs="Times New Roman"/>
          <w:color w:val="auto"/>
          <w:kern w:val="0"/>
          <w:sz w:val="32"/>
          <w:szCs w:val="20"/>
          <w:highlight w:val="none"/>
          <w:lang w:eastAsia="zh-CN"/>
        </w:rPr>
        <w:t>入市净收益，</w:t>
      </w:r>
      <w:r>
        <w:rPr>
          <w:rFonts w:hint="eastAsia" w:ascii="Calibri" w:hAnsi="Calibri" w:eastAsia="仿宋_GB2312" w:cs="Times New Roman"/>
          <w:color w:val="auto"/>
          <w:kern w:val="0"/>
          <w:sz w:val="32"/>
          <w:szCs w:val="20"/>
          <w:highlight w:val="none"/>
        </w:rPr>
        <w:t>应当主要用于</w:t>
      </w:r>
      <w:r>
        <w:rPr>
          <w:rFonts w:hint="eastAsia" w:ascii="Calibri" w:hAnsi="Calibri" w:eastAsia="仿宋_GB2312" w:cs="Times New Roman"/>
          <w:color w:val="auto"/>
          <w:kern w:val="0"/>
          <w:sz w:val="32"/>
          <w:szCs w:val="20"/>
          <w:highlight w:val="none"/>
          <w:lang w:eastAsia="zh-CN"/>
        </w:rPr>
        <w:t>本集体经济组织</w:t>
      </w:r>
      <w:r>
        <w:rPr>
          <w:rFonts w:hint="eastAsia" w:ascii="Calibri" w:hAnsi="Calibri" w:eastAsia="仿宋_GB2312" w:cs="Times New Roman"/>
          <w:color w:val="auto"/>
          <w:kern w:val="0"/>
          <w:sz w:val="32"/>
          <w:szCs w:val="20"/>
          <w:highlight w:val="none"/>
        </w:rPr>
        <w:t>经营性再投资发展</w:t>
      </w:r>
      <w:r>
        <w:rPr>
          <w:rFonts w:hint="eastAsia" w:ascii="Calibri" w:hAnsi="Calibri" w:eastAsia="仿宋_GB2312" w:cs="Times New Roman"/>
          <w:color w:val="auto"/>
          <w:kern w:val="0"/>
          <w:sz w:val="32"/>
          <w:szCs w:val="20"/>
          <w:highlight w:val="none"/>
          <w:lang w:eastAsia="zh-CN"/>
        </w:rPr>
        <w:t>、</w:t>
      </w:r>
      <w:r>
        <w:rPr>
          <w:rFonts w:hint="eastAsia" w:ascii="Calibri" w:hAnsi="Calibri" w:eastAsia="仿宋_GB2312" w:cs="Times New Roman"/>
          <w:color w:val="auto"/>
          <w:kern w:val="0"/>
          <w:sz w:val="32"/>
          <w:szCs w:val="20"/>
          <w:highlight w:val="none"/>
        </w:rPr>
        <w:t>属地农村基础设施建设、农村居民民生项目和农村公共服务运行维护等支出</w:t>
      </w:r>
      <w:r>
        <w:rPr>
          <w:rFonts w:hint="eastAsia" w:ascii="Calibri" w:hAnsi="Calibri" w:eastAsia="仿宋_GB2312" w:cs="Times New Roman"/>
          <w:color w:val="auto"/>
          <w:kern w:val="0"/>
          <w:sz w:val="32"/>
          <w:szCs w:val="20"/>
          <w:highlight w:val="none"/>
          <w:lang w:eastAsia="zh-CN"/>
        </w:rPr>
        <w:t>。村</w:t>
      </w:r>
      <w:r>
        <w:rPr>
          <w:rFonts w:hint="eastAsia" w:ascii="Calibri" w:hAnsi="Calibri" w:eastAsia="仿宋_GB2312" w:cs="Times New Roman"/>
          <w:color w:val="auto"/>
          <w:kern w:val="0"/>
          <w:sz w:val="32"/>
          <w:szCs w:val="20"/>
          <w:highlight w:val="none"/>
        </w:rPr>
        <w:t>集体所有的农村集体经营性建设用地</w:t>
      </w:r>
      <w:r>
        <w:rPr>
          <w:rFonts w:hint="eastAsia" w:ascii="Calibri" w:hAnsi="Calibri" w:eastAsia="仿宋_GB2312" w:cs="Times New Roman"/>
          <w:color w:val="auto"/>
          <w:kern w:val="0"/>
          <w:sz w:val="32"/>
          <w:szCs w:val="20"/>
          <w:highlight w:val="none"/>
          <w:lang w:eastAsia="zh-CN"/>
        </w:rPr>
        <w:t>入市净收益，</w:t>
      </w:r>
      <w:r>
        <w:rPr>
          <w:rFonts w:hint="eastAsia" w:ascii="Calibri" w:hAnsi="Calibri" w:eastAsia="仿宋_GB2312" w:cs="Times New Roman"/>
          <w:color w:val="auto"/>
          <w:kern w:val="0"/>
          <w:sz w:val="32"/>
          <w:szCs w:val="20"/>
          <w:highlight w:val="none"/>
        </w:rPr>
        <w:t>不得用于投资股市、</w:t>
      </w:r>
      <w:r>
        <w:rPr>
          <w:rFonts w:hint="eastAsia" w:ascii="Calibri" w:hAnsi="Calibri" w:eastAsia="仿宋_GB2312" w:cs="Times New Roman"/>
          <w:color w:val="auto"/>
          <w:kern w:val="0"/>
          <w:sz w:val="32"/>
          <w:szCs w:val="20"/>
          <w:highlight w:val="none"/>
          <w:lang w:eastAsia="zh-CN"/>
        </w:rPr>
        <w:t>基金、</w:t>
      </w:r>
      <w:r>
        <w:rPr>
          <w:rFonts w:hint="eastAsia" w:ascii="Calibri" w:hAnsi="Calibri" w:eastAsia="仿宋_GB2312" w:cs="Times New Roman"/>
          <w:color w:val="auto"/>
          <w:kern w:val="0"/>
          <w:sz w:val="32"/>
          <w:szCs w:val="20"/>
          <w:highlight w:val="none"/>
        </w:rPr>
        <w:t>民间借贷等高风险业务，</w:t>
      </w:r>
      <w:r>
        <w:rPr>
          <w:rFonts w:hint="eastAsia" w:ascii="Calibri" w:hAnsi="Calibri" w:eastAsia="仿宋_GB2312" w:cs="Times New Roman"/>
          <w:color w:val="auto"/>
          <w:kern w:val="0"/>
          <w:sz w:val="32"/>
          <w:szCs w:val="20"/>
          <w:highlight w:val="none"/>
          <w:lang w:eastAsia="zh-CN"/>
        </w:rPr>
        <w:t>不得出借给任何单位和个人，不得直接用于集体经济组织成员分配。</w:t>
      </w:r>
      <w:r>
        <w:rPr>
          <w:rFonts w:hint="eastAsia" w:ascii="Calibri" w:hAnsi="Calibri" w:eastAsia="仿宋_GB2312" w:cs="Times New Roman"/>
          <w:color w:val="auto"/>
          <w:kern w:val="0"/>
          <w:sz w:val="32"/>
          <w:szCs w:val="20"/>
          <w:highlight w:val="none"/>
        </w:rPr>
        <w:t>要优先保障农民长远利益，主要用于发展村集体经济，改善本集体组织成员的生产和生活配套设施等农村公共服务，以及教育奖励、贫困户和老年人补贴等民生项目的支出，具体应按入市方式的不同分类使用：</w:t>
      </w:r>
    </w:p>
    <w:p w14:paraId="7D3D8CB1">
      <w:pPr>
        <w:spacing w:line="579" w:lineRule="exact"/>
        <w:ind w:firstLine="640" w:firstLineChars="200"/>
        <w:rPr>
          <w:rFonts w:hint="eastAsia" w:ascii="Calibri" w:hAnsi="Calibri" w:eastAsia="仿宋_GB2312" w:cs="Times New Roman"/>
          <w:color w:val="auto"/>
          <w:kern w:val="0"/>
          <w:sz w:val="32"/>
          <w:szCs w:val="20"/>
          <w:highlight w:val="none"/>
        </w:rPr>
      </w:pPr>
      <w:r>
        <w:rPr>
          <w:rFonts w:hint="eastAsia" w:ascii="Calibri" w:hAnsi="Calibri" w:eastAsia="仿宋_GB2312" w:cs="Times New Roman"/>
          <w:color w:val="auto"/>
          <w:kern w:val="0"/>
          <w:sz w:val="32"/>
          <w:szCs w:val="20"/>
          <w:highlight w:val="none"/>
        </w:rPr>
        <w:t>（一）农村集体经营性建设用地以出让方式入市的，其入市净收益作为集体积累，统一列入集体公积公益金进行管理。该收益资金作为村集体经济组织经营性资产。出让收益可通过对外投资、购买物业、股份合作等用于发展壮大村级集体经济。</w:t>
      </w:r>
    </w:p>
    <w:p w14:paraId="74C59D8B">
      <w:pPr>
        <w:spacing w:line="579" w:lineRule="exact"/>
        <w:ind w:firstLine="640" w:firstLineChars="200"/>
        <w:rPr>
          <w:rFonts w:hint="eastAsia" w:ascii="Calibri" w:hAnsi="Calibri" w:eastAsia="仿宋_GB2312" w:cs="Times New Roman"/>
          <w:color w:val="auto"/>
          <w:kern w:val="0"/>
          <w:sz w:val="32"/>
          <w:szCs w:val="20"/>
          <w:highlight w:val="none"/>
        </w:rPr>
      </w:pPr>
      <w:r>
        <w:rPr>
          <w:rFonts w:hint="eastAsia" w:ascii="Calibri" w:hAnsi="Calibri" w:eastAsia="仿宋_GB2312" w:cs="Times New Roman"/>
          <w:color w:val="auto"/>
          <w:kern w:val="0"/>
          <w:sz w:val="32"/>
          <w:szCs w:val="20"/>
          <w:highlight w:val="none"/>
        </w:rPr>
        <w:t>（二）农村集体经营性建设用地以出租方式入市的，入市净收益按年度或约定期限缴纳，收益按年度计入村集体经济</w:t>
      </w:r>
      <w:r>
        <w:rPr>
          <w:rFonts w:hint="eastAsia" w:ascii="Calibri" w:hAnsi="Calibri" w:eastAsia="仿宋_GB2312" w:cs="Times New Roman"/>
          <w:color w:val="auto"/>
          <w:kern w:val="0"/>
          <w:sz w:val="32"/>
          <w:szCs w:val="20"/>
          <w:highlight w:val="none"/>
          <w:lang w:eastAsia="zh-CN"/>
        </w:rPr>
        <w:t>经营</w:t>
      </w:r>
      <w:r>
        <w:rPr>
          <w:rFonts w:hint="eastAsia" w:ascii="Calibri" w:hAnsi="Calibri" w:eastAsia="仿宋_GB2312" w:cs="Times New Roman"/>
          <w:color w:val="auto"/>
          <w:kern w:val="0"/>
          <w:sz w:val="32"/>
          <w:szCs w:val="20"/>
          <w:highlight w:val="none"/>
        </w:rPr>
        <w:t>收入。</w:t>
      </w:r>
    </w:p>
    <w:p w14:paraId="427DD85A">
      <w:pPr>
        <w:spacing w:line="579" w:lineRule="exact"/>
        <w:ind w:firstLine="640" w:firstLineChars="200"/>
        <w:rPr>
          <w:rFonts w:hint="eastAsia" w:ascii="Calibri" w:hAnsi="Calibri" w:eastAsia="仿宋_GB2312" w:cs="Times New Roman"/>
          <w:color w:val="auto"/>
          <w:kern w:val="0"/>
          <w:sz w:val="32"/>
          <w:szCs w:val="20"/>
          <w:highlight w:val="none"/>
        </w:rPr>
      </w:pPr>
      <w:r>
        <w:rPr>
          <w:rFonts w:hint="eastAsia" w:ascii="Calibri" w:hAnsi="Calibri" w:eastAsia="仿宋_GB2312" w:cs="Times New Roman"/>
          <w:color w:val="auto"/>
          <w:kern w:val="0"/>
          <w:sz w:val="32"/>
          <w:szCs w:val="20"/>
          <w:highlight w:val="none"/>
        </w:rPr>
        <w:t>（三）农村集体经营性建设用地以作价出资或入股方式入市的，原则上在《作价出资</w:t>
      </w:r>
      <w:r>
        <w:rPr>
          <w:rFonts w:hint="eastAsia" w:ascii="Calibri" w:hAnsi="Calibri" w:eastAsia="仿宋_GB2312" w:cs="Times New Roman"/>
          <w:color w:val="auto"/>
          <w:kern w:val="0"/>
          <w:sz w:val="32"/>
          <w:szCs w:val="20"/>
          <w:highlight w:val="none"/>
          <w:lang w:eastAsia="zh-CN"/>
        </w:rPr>
        <w:t>（</w:t>
      </w:r>
      <w:r>
        <w:rPr>
          <w:rFonts w:hint="eastAsia" w:ascii="Calibri" w:hAnsi="Calibri" w:eastAsia="仿宋_GB2312" w:cs="Times New Roman"/>
          <w:color w:val="auto"/>
          <w:kern w:val="0"/>
          <w:sz w:val="32"/>
          <w:szCs w:val="20"/>
          <w:highlight w:val="none"/>
        </w:rPr>
        <w:t>入股</w:t>
      </w:r>
      <w:r>
        <w:rPr>
          <w:rFonts w:hint="eastAsia" w:ascii="Calibri" w:hAnsi="Calibri" w:eastAsia="仿宋_GB2312" w:cs="Times New Roman"/>
          <w:color w:val="auto"/>
          <w:kern w:val="0"/>
          <w:sz w:val="32"/>
          <w:szCs w:val="20"/>
          <w:highlight w:val="none"/>
          <w:lang w:eastAsia="zh-CN"/>
        </w:rPr>
        <w:t>）</w:t>
      </w:r>
      <w:r>
        <w:rPr>
          <w:rFonts w:hint="eastAsia" w:ascii="Calibri" w:hAnsi="Calibri" w:eastAsia="仿宋_GB2312" w:cs="Times New Roman"/>
          <w:color w:val="auto"/>
          <w:kern w:val="0"/>
          <w:sz w:val="32"/>
          <w:szCs w:val="20"/>
          <w:highlight w:val="none"/>
        </w:rPr>
        <w:t>入市合同》中明确采取“固定收益+分红”方式获取投资收益，土地使用权作价出资形成的股权由村集体经济组织持有，其土地使用权作价计入村集体无形资产，其收益作为村集体经济收入按年度计入投资收益。</w:t>
      </w:r>
    </w:p>
    <w:p w14:paraId="570DBE10">
      <w:pPr>
        <w:spacing w:line="579" w:lineRule="exact"/>
        <w:ind w:firstLine="640" w:firstLineChars="200"/>
        <w:rPr>
          <w:rFonts w:hint="eastAsia" w:ascii="Calibri" w:hAnsi="Calibri" w:eastAsia="仿宋_GB2312" w:cs="Times New Roman"/>
          <w:color w:val="auto"/>
          <w:kern w:val="0"/>
          <w:sz w:val="32"/>
          <w:szCs w:val="20"/>
          <w:highlight w:val="none"/>
          <w:lang w:val="en-US" w:eastAsia="zh-CN"/>
        </w:rPr>
      </w:pPr>
      <w:r>
        <w:rPr>
          <w:rFonts w:hint="eastAsia" w:ascii="Calibri" w:hAnsi="Calibri" w:eastAsia="仿宋_GB2312" w:cs="Times New Roman"/>
          <w:color w:val="auto"/>
          <w:kern w:val="0"/>
          <w:sz w:val="32"/>
          <w:szCs w:val="20"/>
          <w:highlight w:val="none"/>
        </w:rPr>
        <w:t>（四）村集体经济组织将集体经营性建设用地入市净收益通过对外投资、购买物业、股份合作等再投资所取得的收益，在扣除必要的投资费用，履行相应的民主程序后，可将再收益按股份经济合作社章程进行分红。</w:t>
      </w:r>
    </w:p>
    <w:p w14:paraId="2A283419">
      <w:pPr>
        <w:spacing w:line="579" w:lineRule="exact"/>
        <w:ind w:firstLine="643" w:firstLineChars="200"/>
        <w:rPr>
          <w:rFonts w:hint="eastAsia" w:ascii="Calibri" w:hAnsi="Calibri" w:eastAsia="仿宋_GB2312" w:cs="Times New Roman"/>
          <w:color w:val="auto"/>
          <w:kern w:val="0"/>
          <w:sz w:val="32"/>
          <w:szCs w:val="20"/>
          <w:highlight w:val="none"/>
          <w:lang w:val="en-US" w:eastAsia="zh-CN"/>
        </w:rPr>
      </w:pPr>
      <w:r>
        <w:rPr>
          <w:rFonts w:hint="eastAsia" w:ascii="Calibri" w:hAnsi="Calibri" w:eastAsia="仿宋_GB2312" w:cs="Times New Roman"/>
          <w:b/>
          <w:color w:val="auto"/>
          <w:kern w:val="2"/>
          <w:sz w:val="32"/>
          <w:szCs w:val="24"/>
          <w:highlight w:val="none"/>
          <w:lang w:val="en-US" w:eastAsia="zh-CN" w:bidi="ar-SA"/>
        </w:rPr>
        <w:t>第三十九条</w:t>
      </w:r>
      <w:r>
        <w:rPr>
          <w:rFonts w:hint="eastAsia" w:ascii="Calibri" w:hAnsi="Calibri" w:eastAsia="仿宋_GB2312" w:cs="Times New Roman"/>
          <w:b/>
          <w:bCs/>
          <w:color w:val="auto"/>
          <w:kern w:val="0"/>
          <w:sz w:val="32"/>
          <w:szCs w:val="20"/>
          <w:highlight w:val="none"/>
        </w:rPr>
        <w:t xml:space="preserve"> </w:t>
      </w:r>
      <w:r>
        <w:rPr>
          <w:rFonts w:hint="eastAsia" w:ascii="Calibri" w:hAnsi="Calibri" w:eastAsia="仿宋_GB2312" w:cs="Times New Roman"/>
          <w:color w:val="auto"/>
          <w:kern w:val="0"/>
          <w:sz w:val="32"/>
          <w:szCs w:val="20"/>
          <w:highlight w:val="none"/>
          <w:lang w:val="en-US" w:eastAsia="zh-CN"/>
        </w:rPr>
        <w:t>镇级集体经营性建设用地入市净收益使用方案需经镇党（工）委审核后实施。村级集体经营性建设用地入市净收益使用方案应按照“四议两公开”决策程序，报镇党（工）委审核后召开成员大会，经本集体经济组织三分之二以上成员同意后方可实施。</w:t>
      </w:r>
    </w:p>
    <w:p w14:paraId="2855031C">
      <w:pPr>
        <w:spacing w:line="579" w:lineRule="exact"/>
        <w:ind w:firstLine="643" w:firstLineChars="200"/>
        <w:rPr>
          <w:rFonts w:hint="eastAsia" w:ascii="Calibri" w:hAnsi="Calibri" w:eastAsia="仿宋_GB2312" w:cs="Times New Roman"/>
          <w:color w:val="auto"/>
          <w:kern w:val="0"/>
          <w:sz w:val="32"/>
          <w:szCs w:val="20"/>
          <w:highlight w:val="none"/>
        </w:rPr>
      </w:pPr>
      <w:r>
        <w:rPr>
          <w:rFonts w:hint="eastAsia" w:ascii="Calibri" w:hAnsi="Calibri" w:eastAsia="仿宋_GB2312" w:cs="Times New Roman"/>
          <w:b/>
          <w:color w:val="auto"/>
          <w:kern w:val="2"/>
          <w:sz w:val="32"/>
          <w:szCs w:val="24"/>
          <w:highlight w:val="none"/>
          <w:lang w:val="en-US" w:eastAsia="zh-CN" w:bidi="ar-SA"/>
        </w:rPr>
        <w:t xml:space="preserve">第四十条 </w:t>
      </w:r>
      <w:r>
        <w:rPr>
          <w:rFonts w:hint="eastAsia" w:ascii="Calibri" w:hAnsi="Calibri" w:eastAsia="仿宋_GB2312" w:cs="Times New Roman"/>
          <w:color w:val="auto"/>
          <w:kern w:val="0"/>
          <w:sz w:val="32"/>
          <w:szCs w:val="20"/>
          <w:highlight w:val="none"/>
          <w:lang w:eastAsia="zh-CN"/>
        </w:rPr>
        <w:t>农村集体经营性建设用地</w:t>
      </w:r>
      <w:r>
        <w:rPr>
          <w:rFonts w:hint="eastAsia" w:ascii="Calibri" w:hAnsi="Calibri" w:eastAsia="仿宋_GB2312" w:cs="Times New Roman"/>
          <w:color w:val="auto"/>
          <w:kern w:val="0"/>
          <w:sz w:val="32"/>
          <w:szCs w:val="20"/>
          <w:highlight w:val="none"/>
        </w:rPr>
        <w:t>入市净收益资金使用管理情况</w:t>
      </w:r>
      <w:r>
        <w:rPr>
          <w:rFonts w:hint="eastAsia" w:ascii="Calibri" w:hAnsi="Calibri" w:eastAsia="仿宋_GB2312" w:cs="Times New Roman"/>
          <w:color w:val="auto"/>
          <w:kern w:val="0"/>
          <w:sz w:val="32"/>
          <w:szCs w:val="20"/>
          <w:highlight w:val="none"/>
          <w:lang w:eastAsia="zh-CN"/>
        </w:rPr>
        <w:t>应当</w:t>
      </w:r>
      <w:r>
        <w:rPr>
          <w:rFonts w:hint="eastAsia" w:ascii="Calibri" w:hAnsi="Calibri" w:eastAsia="仿宋_GB2312" w:cs="Times New Roman"/>
          <w:color w:val="auto"/>
          <w:kern w:val="0"/>
          <w:sz w:val="32"/>
          <w:szCs w:val="20"/>
          <w:highlight w:val="none"/>
        </w:rPr>
        <w:t>定期向相应集体经济组织成员公开、并接受成员的监督。</w:t>
      </w:r>
      <w:r>
        <w:rPr>
          <w:rFonts w:hint="eastAsia" w:ascii="Calibri" w:hAnsi="Calibri" w:eastAsia="仿宋_GB2312" w:cs="Times New Roman"/>
          <w:color w:val="auto"/>
          <w:kern w:val="0"/>
          <w:sz w:val="32"/>
          <w:szCs w:val="20"/>
          <w:highlight w:val="none"/>
          <w:lang w:eastAsia="zh-CN"/>
        </w:rPr>
        <w:t>农村集体经营性建设用地</w:t>
      </w:r>
      <w:r>
        <w:rPr>
          <w:rFonts w:hint="eastAsia" w:ascii="Calibri" w:hAnsi="Calibri" w:eastAsia="仿宋_GB2312" w:cs="Times New Roman"/>
          <w:color w:val="auto"/>
          <w:kern w:val="0"/>
          <w:sz w:val="32"/>
          <w:szCs w:val="20"/>
          <w:highlight w:val="none"/>
        </w:rPr>
        <w:t>入市净收益及其再收益的使用应当严格执行财务预决算、开支审批、民主管理和财务公开等管理制度。</w:t>
      </w:r>
    </w:p>
    <w:p w14:paraId="237E0420">
      <w:pPr>
        <w:spacing w:line="579" w:lineRule="exact"/>
        <w:ind w:firstLine="643" w:firstLineChars="200"/>
        <w:rPr>
          <w:rFonts w:hint="eastAsia" w:ascii="Calibri" w:hAnsi="Calibri" w:eastAsia="仿宋_GB2312" w:cs="Times New Roman"/>
          <w:color w:val="auto"/>
          <w:kern w:val="0"/>
          <w:sz w:val="32"/>
          <w:szCs w:val="20"/>
          <w:highlight w:val="none"/>
          <w:lang w:eastAsia="zh-CN"/>
        </w:rPr>
      </w:pPr>
      <w:r>
        <w:rPr>
          <w:rFonts w:hint="eastAsia" w:ascii="Calibri" w:hAnsi="Calibri" w:eastAsia="仿宋_GB2312" w:cs="Times New Roman"/>
          <w:b/>
          <w:color w:val="auto"/>
          <w:sz w:val="32"/>
          <w:highlight w:val="none"/>
        </w:rPr>
        <w:t>第</w:t>
      </w:r>
      <w:r>
        <w:rPr>
          <w:rFonts w:hint="eastAsia" w:ascii="Calibri" w:hAnsi="Calibri" w:eastAsia="仿宋_GB2312" w:cs="Times New Roman"/>
          <w:b/>
          <w:color w:val="auto"/>
          <w:sz w:val="32"/>
          <w:highlight w:val="none"/>
          <w:lang w:val="en-US" w:eastAsia="zh-CN"/>
        </w:rPr>
        <w:t>四十一</w:t>
      </w:r>
      <w:r>
        <w:rPr>
          <w:rFonts w:hint="eastAsia" w:ascii="Calibri" w:hAnsi="Calibri" w:eastAsia="仿宋_GB2312" w:cs="Times New Roman"/>
          <w:b/>
          <w:color w:val="auto"/>
          <w:sz w:val="32"/>
          <w:highlight w:val="none"/>
        </w:rPr>
        <w:t>条</w:t>
      </w:r>
      <w:r>
        <w:rPr>
          <w:rFonts w:hint="eastAsia" w:ascii="Calibri" w:hAnsi="Calibri" w:eastAsia="仿宋_GB2312" w:cs="Times New Roman"/>
          <w:b/>
          <w:color w:val="auto"/>
          <w:sz w:val="32"/>
          <w:highlight w:val="none"/>
          <w:lang w:val="en-US" w:eastAsia="zh-CN"/>
        </w:rPr>
        <w:t xml:space="preserve"> </w:t>
      </w:r>
      <w:r>
        <w:rPr>
          <w:rFonts w:hint="eastAsia" w:ascii="Calibri" w:hAnsi="Calibri" w:eastAsia="仿宋_GB2312" w:cs="Times New Roman"/>
          <w:color w:val="auto"/>
          <w:kern w:val="0"/>
          <w:sz w:val="32"/>
          <w:szCs w:val="20"/>
          <w:highlight w:val="none"/>
          <w:lang w:eastAsia="zh-CN"/>
        </w:rPr>
        <w:t>农村集体经营性建设用地入市净收益管理应遵循以下要求：</w:t>
      </w:r>
    </w:p>
    <w:p w14:paraId="602563DD">
      <w:pPr>
        <w:spacing w:line="579" w:lineRule="exact"/>
        <w:ind w:firstLine="640" w:firstLineChars="200"/>
        <w:rPr>
          <w:rFonts w:hint="eastAsia" w:ascii="Calibri" w:hAnsi="Calibri" w:eastAsia="仿宋_GB2312" w:cs="Times New Roman"/>
          <w:color w:val="auto"/>
          <w:kern w:val="0"/>
          <w:sz w:val="32"/>
          <w:szCs w:val="20"/>
          <w:highlight w:val="none"/>
          <w:lang w:eastAsia="zh-CN"/>
        </w:rPr>
      </w:pPr>
      <w:r>
        <w:rPr>
          <w:rFonts w:hint="eastAsia" w:ascii="Calibri" w:hAnsi="Calibri" w:eastAsia="仿宋_GB2312" w:cs="Times New Roman"/>
          <w:color w:val="auto"/>
          <w:kern w:val="0"/>
          <w:sz w:val="32"/>
          <w:szCs w:val="20"/>
          <w:highlight w:val="none"/>
          <w:lang w:eastAsia="zh-CN"/>
        </w:rPr>
        <w:t>（一）村务监督委员会负责本村入市净收益具体用途及日常管理的监督。</w:t>
      </w:r>
    </w:p>
    <w:p w14:paraId="51EE2CC0">
      <w:pPr>
        <w:spacing w:line="579" w:lineRule="exact"/>
        <w:ind w:firstLine="640" w:firstLineChars="200"/>
        <w:rPr>
          <w:rFonts w:hint="eastAsia" w:ascii="Calibri" w:hAnsi="Calibri" w:eastAsia="仿宋_GB2312" w:cs="Times New Roman"/>
          <w:color w:val="auto"/>
          <w:kern w:val="0"/>
          <w:sz w:val="32"/>
          <w:szCs w:val="20"/>
          <w:highlight w:val="none"/>
          <w:lang w:eastAsia="zh-CN"/>
        </w:rPr>
      </w:pPr>
      <w:r>
        <w:rPr>
          <w:rFonts w:hint="eastAsia" w:ascii="Calibri" w:hAnsi="Calibri" w:eastAsia="仿宋_GB2312" w:cs="Times New Roman"/>
          <w:color w:val="auto"/>
          <w:kern w:val="0"/>
          <w:sz w:val="32"/>
          <w:szCs w:val="20"/>
          <w:highlight w:val="none"/>
          <w:lang w:eastAsia="zh-CN"/>
        </w:rPr>
        <w:t>（二）镇财政部门和农村集体资产管理部门对入市净收益规范性使用进行审核，及时准确反映经济往来。</w:t>
      </w:r>
    </w:p>
    <w:p w14:paraId="44DA42A4">
      <w:pPr>
        <w:spacing w:line="579" w:lineRule="exact"/>
        <w:ind w:firstLine="640" w:firstLineChars="200"/>
        <w:rPr>
          <w:rFonts w:hint="eastAsia" w:ascii="Calibri" w:hAnsi="Calibri" w:eastAsia="仿宋_GB2312" w:cs="Times New Roman"/>
          <w:color w:val="auto"/>
          <w:kern w:val="0"/>
          <w:sz w:val="32"/>
          <w:szCs w:val="20"/>
          <w:highlight w:val="none"/>
          <w:lang w:eastAsia="zh-CN"/>
        </w:rPr>
      </w:pPr>
      <w:r>
        <w:rPr>
          <w:rFonts w:hint="eastAsia" w:ascii="Calibri" w:hAnsi="Calibri" w:eastAsia="仿宋_GB2312" w:cs="Times New Roman"/>
          <w:color w:val="auto"/>
          <w:kern w:val="0"/>
          <w:sz w:val="32"/>
          <w:szCs w:val="20"/>
          <w:highlight w:val="none"/>
          <w:lang w:eastAsia="zh-CN"/>
        </w:rPr>
        <w:t>（三）区财政局、区</w:t>
      </w:r>
      <w:r>
        <w:rPr>
          <w:rFonts w:hint="eastAsia" w:ascii="Calibri" w:hAnsi="Calibri" w:eastAsia="仿宋_GB2312" w:cs="Times New Roman"/>
          <w:color w:val="auto"/>
          <w:kern w:val="0"/>
          <w:sz w:val="32"/>
          <w:szCs w:val="20"/>
          <w:highlight w:val="none"/>
          <w:lang w:val="en-US" w:eastAsia="zh-CN"/>
        </w:rPr>
        <w:t>资规分局</w:t>
      </w:r>
      <w:r>
        <w:rPr>
          <w:rFonts w:hint="eastAsia" w:ascii="Calibri" w:hAnsi="Calibri" w:eastAsia="仿宋_GB2312" w:cs="Times New Roman"/>
          <w:color w:val="auto"/>
          <w:kern w:val="0"/>
          <w:sz w:val="32"/>
          <w:szCs w:val="20"/>
          <w:highlight w:val="none"/>
          <w:lang w:eastAsia="zh-CN"/>
        </w:rPr>
        <w:t>、区农业农村局、区民政局等部门按各自职责做好相关工作的指导与监督。</w:t>
      </w:r>
    </w:p>
    <w:p w14:paraId="6E265146">
      <w:pPr>
        <w:spacing w:line="579" w:lineRule="exact"/>
        <w:ind w:firstLine="640" w:firstLineChars="200"/>
        <w:rPr>
          <w:rFonts w:hint="eastAsia" w:ascii="Calibri" w:hAnsi="Calibri" w:eastAsia="仿宋_GB2312" w:cs="Times New Roman"/>
          <w:color w:val="auto"/>
          <w:kern w:val="0"/>
          <w:sz w:val="32"/>
          <w:szCs w:val="20"/>
          <w:highlight w:val="none"/>
          <w:lang w:eastAsia="zh-CN"/>
        </w:rPr>
      </w:pPr>
      <w:r>
        <w:rPr>
          <w:rFonts w:hint="eastAsia" w:ascii="Calibri" w:hAnsi="Calibri" w:eastAsia="仿宋_GB2312" w:cs="Times New Roman"/>
          <w:color w:val="auto"/>
          <w:kern w:val="0"/>
          <w:sz w:val="32"/>
          <w:szCs w:val="20"/>
          <w:highlight w:val="none"/>
          <w:lang w:eastAsia="zh-CN"/>
        </w:rPr>
        <w:t>（四）区、镇纪检</w:t>
      </w:r>
      <w:r>
        <w:rPr>
          <w:rFonts w:hint="eastAsia" w:ascii="Calibri" w:hAnsi="Calibri" w:eastAsia="仿宋_GB2312" w:cs="Times New Roman"/>
          <w:color w:val="auto"/>
          <w:kern w:val="0"/>
          <w:sz w:val="32"/>
          <w:szCs w:val="20"/>
          <w:highlight w:val="none"/>
          <w:lang w:val="en-US" w:eastAsia="zh-CN"/>
        </w:rPr>
        <w:t>监察</w:t>
      </w:r>
      <w:r>
        <w:rPr>
          <w:rFonts w:hint="eastAsia" w:ascii="Calibri" w:hAnsi="Calibri" w:eastAsia="仿宋_GB2312" w:cs="Times New Roman"/>
          <w:color w:val="auto"/>
          <w:kern w:val="0"/>
          <w:sz w:val="32"/>
          <w:szCs w:val="20"/>
          <w:highlight w:val="none"/>
          <w:lang w:eastAsia="zh-CN"/>
        </w:rPr>
        <w:t>部门对违反规定的单位和个人及时作出党纪政</w:t>
      </w:r>
      <w:r>
        <w:rPr>
          <w:rFonts w:hint="eastAsia" w:ascii="Calibri" w:hAnsi="Calibri" w:eastAsia="仿宋_GB2312" w:cs="Times New Roman"/>
          <w:color w:val="auto"/>
          <w:kern w:val="0"/>
          <w:sz w:val="32"/>
          <w:szCs w:val="20"/>
          <w:highlight w:val="none"/>
          <w:lang w:val="en-US" w:eastAsia="zh-CN"/>
        </w:rPr>
        <w:t>务</w:t>
      </w:r>
      <w:r>
        <w:rPr>
          <w:rFonts w:hint="eastAsia" w:ascii="Calibri" w:hAnsi="Calibri" w:eastAsia="仿宋_GB2312" w:cs="Times New Roman"/>
          <w:color w:val="auto"/>
          <w:kern w:val="0"/>
          <w:sz w:val="32"/>
          <w:szCs w:val="20"/>
          <w:highlight w:val="none"/>
          <w:lang w:eastAsia="zh-CN"/>
        </w:rPr>
        <w:t>处</w:t>
      </w:r>
      <w:r>
        <w:rPr>
          <w:rFonts w:hint="eastAsia" w:ascii="Calibri" w:hAnsi="Calibri" w:eastAsia="仿宋_GB2312" w:cs="Times New Roman"/>
          <w:color w:val="auto"/>
          <w:kern w:val="0"/>
          <w:sz w:val="32"/>
          <w:szCs w:val="20"/>
          <w:highlight w:val="none"/>
          <w:lang w:val="en-US" w:eastAsia="zh-CN"/>
        </w:rPr>
        <w:t>分</w:t>
      </w:r>
      <w:r>
        <w:rPr>
          <w:rFonts w:hint="eastAsia" w:ascii="Calibri" w:hAnsi="Calibri" w:eastAsia="仿宋_GB2312" w:cs="Times New Roman"/>
          <w:color w:val="auto"/>
          <w:kern w:val="0"/>
          <w:sz w:val="32"/>
          <w:szCs w:val="20"/>
          <w:highlight w:val="none"/>
          <w:lang w:eastAsia="zh-CN"/>
        </w:rPr>
        <w:t>；涉嫌违法犯罪的，移交司法机关处理。</w:t>
      </w:r>
    </w:p>
    <w:p w14:paraId="5089A6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right="0"/>
        <w:jc w:val="left"/>
        <w:rPr>
          <w:rFonts w:hint="eastAsia" w:ascii="仿宋_GB2312" w:hAnsi="仿宋_GB2312" w:eastAsia="仿宋_GB2312" w:cs="仿宋_GB2312"/>
          <w:color w:val="auto"/>
          <w:sz w:val="32"/>
          <w:szCs w:val="32"/>
          <w:highlight w:val="none"/>
        </w:rPr>
      </w:pPr>
    </w:p>
    <w:p w14:paraId="6236EBC6">
      <w:pPr>
        <w:pStyle w:val="12"/>
        <w:widowControl/>
        <w:numPr>
          <w:ilvl w:val="0"/>
          <w:numId w:val="0"/>
        </w:numPr>
        <w:ind w:leftChars="0"/>
        <w:rPr>
          <w:rFonts w:hint="eastAsia"/>
          <w:color w:val="auto"/>
          <w:highlight w:val="none"/>
          <w:lang w:eastAsia="zh-CN"/>
        </w:rPr>
      </w:pPr>
      <w:r>
        <w:rPr>
          <w:rFonts w:hint="eastAsia"/>
          <w:color w:val="auto"/>
          <w:highlight w:val="none"/>
          <w:lang w:eastAsia="zh-CN"/>
        </w:rPr>
        <w:t>第</w:t>
      </w:r>
      <w:r>
        <w:rPr>
          <w:rFonts w:hint="eastAsia"/>
          <w:color w:val="auto"/>
          <w:highlight w:val="none"/>
          <w:lang w:val="en-US" w:eastAsia="zh-CN"/>
        </w:rPr>
        <w:t>十</w:t>
      </w:r>
      <w:r>
        <w:rPr>
          <w:rFonts w:hint="eastAsia"/>
          <w:color w:val="auto"/>
          <w:highlight w:val="none"/>
          <w:lang w:eastAsia="zh-CN"/>
        </w:rPr>
        <w:t>章 法律责任与监督</w:t>
      </w:r>
    </w:p>
    <w:p w14:paraId="3DDD7F3C">
      <w:pPr>
        <w:pStyle w:val="5"/>
        <w:widowControl/>
        <w:rPr>
          <w:rFonts w:hint="default" w:ascii="Calibri" w:hAnsi="Calibri" w:eastAsia="仿宋_GB2312" w:cs="Times New Roman"/>
          <w:color w:val="auto"/>
          <w:sz w:val="32"/>
          <w:highlight w:val="none"/>
          <w:lang w:val="en-US" w:eastAsia="zh-CN"/>
        </w:rPr>
      </w:pPr>
      <w:r>
        <w:rPr>
          <w:rFonts w:hint="eastAsia" w:ascii="Calibri" w:hAnsi="Calibri" w:eastAsia="仿宋_GB2312" w:cs="Times New Roman"/>
          <w:b/>
          <w:color w:val="auto"/>
          <w:sz w:val="32"/>
          <w:highlight w:val="none"/>
        </w:rPr>
        <w:t>第</w:t>
      </w:r>
      <w:r>
        <w:rPr>
          <w:rFonts w:hint="eastAsia" w:cs="Times New Roman"/>
          <w:b/>
          <w:color w:val="auto"/>
          <w:sz w:val="32"/>
          <w:highlight w:val="none"/>
          <w:lang w:val="en-US" w:eastAsia="zh-CN"/>
        </w:rPr>
        <w:t>四十二</w:t>
      </w:r>
      <w:r>
        <w:rPr>
          <w:rFonts w:hint="eastAsia" w:ascii="Calibri" w:hAnsi="Calibri" w:eastAsia="仿宋_GB2312" w:cs="Times New Roman"/>
          <w:b/>
          <w:color w:val="auto"/>
          <w:sz w:val="32"/>
          <w:highlight w:val="none"/>
        </w:rPr>
        <w:t xml:space="preserve">条 </w:t>
      </w:r>
      <w:r>
        <w:rPr>
          <w:rFonts w:ascii="Calibri" w:hAnsi="Calibri" w:eastAsia="仿宋_GB2312" w:cs="Times New Roman"/>
          <w:color w:val="auto"/>
          <w:sz w:val="32"/>
          <w:highlight w:val="none"/>
        </w:rPr>
        <w:t>农村集体经营性建设用地使用权入市违反本办法的规定交易的，区有关部门不得为相关主体办理规划、建设、用地、登记手续。</w:t>
      </w:r>
      <w:r>
        <w:rPr>
          <w:rFonts w:hint="eastAsia" w:cs="Times New Roman"/>
          <w:color w:val="auto"/>
          <w:sz w:val="32"/>
          <w:highlight w:val="none"/>
          <w:lang w:val="en-US" w:eastAsia="zh-CN"/>
        </w:rPr>
        <w:t>对违规交易的企业，依法追究违约责任并纳入信用管理。</w:t>
      </w:r>
    </w:p>
    <w:p w14:paraId="54026A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both"/>
        <w:rPr>
          <w:rFonts w:ascii="Calibri" w:hAnsi="Calibri" w:eastAsia="仿宋_GB2312" w:cs="Times New Roman"/>
          <w:color w:val="auto"/>
          <w:sz w:val="32"/>
          <w:highlight w:val="none"/>
        </w:rPr>
      </w:pPr>
      <w:r>
        <w:rPr>
          <w:rFonts w:ascii="Calibri" w:hAnsi="Calibri" w:eastAsia="仿宋_GB2312" w:cs="Times New Roman"/>
          <w:color w:val="auto"/>
          <w:sz w:val="32"/>
          <w:highlight w:val="none"/>
        </w:rPr>
        <w:t>国家工作人员在农村集体经营性建设用地入市过程中存在玩忽职守、滥用职权、徇私舞弊、弄虚作假等行为，造成集体资产流失的，由所在单位或者上级机关给予处分；构成犯罪的，依法移送司法机关追究刑事责任。</w:t>
      </w:r>
    </w:p>
    <w:p w14:paraId="7154E6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both"/>
        <w:rPr>
          <w:rFonts w:ascii="Calibri" w:hAnsi="Calibri" w:eastAsia="仿宋_GB2312" w:cs="Times New Roman"/>
          <w:color w:val="auto"/>
          <w:sz w:val="32"/>
          <w:highlight w:val="none"/>
        </w:rPr>
      </w:pPr>
      <w:r>
        <w:rPr>
          <w:rFonts w:ascii="Calibri" w:hAnsi="Calibri" w:eastAsia="仿宋_GB2312" w:cs="Times New Roman"/>
          <w:color w:val="auto"/>
          <w:sz w:val="32"/>
          <w:highlight w:val="none"/>
        </w:rPr>
        <w:t>农村集体经济组织的经营管理者，在农村集体经营性建设用地入市过程中存在玩忽职守、滥用职权、徇私舞弊、弄虚作假等行为或者擅自侵占、挪用农村集体经营性建设用地入市收益，由纪检监察部门查处；构成犯罪的，依法移送司法机关追究刑事责任。</w:t>
      </w:r>
    </w:p>
    <w:p w14:paraId="0310FD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640" w:firstLineChars="200"/>
        <w:jc w:val="left"/>
        <w:rPr>
          <w:rFonts w:hint="eastAsia" w:ascii="仿宋_GB2312" w:hAnsi="仿宋_GB2312" w:eastAsia="仿宋_GB2312" w:cs="仿宋_GB2312"/>
          <w:color w:val="auto"/>
          <w:sz w:val="32"/>
          <w:szCs w:val="32"/>
          <w:highlight w:val="none"/>
        </w:rPr>
      </w:pPr>
    </w:p>
    <w:p w14:paraId="0EC06978">
      <w:pPr>
        <w:pStyle w:val="12"/>
        <w:widowControl/>
        <w:numPr>
          <w:ilvl w:val="0"/>
          <w:numId w:val="0"/>
        </w:numPr>
        <w:ind w:leftChars="0"/>
        <w:rPr>
          <w:rFonts w:hint="eastAsia"/>
          <w:color w:val="auto"/>
          <w:highlight w:val="none"/>
          <w:lang w:eastAsia="zh-CN"/>
        </w:rPr>
      </w:pPr>
      <w:r>
        <w:rPr>
          <w:rFonts w:hint="eastAsia"/>
          <w:color w:val="auto"/>
          <w:highlight w:val="none"/>
          <w:lang w:eastAsia="zh-CN"/>
        </w:rPr>
        <w:t>第</w:t>
      </w:r>
      <w:r>
        <w:rPr>
          <w:rFonts w:hint="eastAsia"/>
          <w:color w:val="auto"/>
          <w:highlight w:val="none"/>
          <w:lang w:val="en-US" w:eastAsia="zh-CN"/>
        </w:rPr>
        <w:t>十一</w:t>
      </w:r>
      <w:r>
        <w:rPr>
          <w:rFonts w:hint="eastAsia"/>
          <w:color w:val="auto"/>
          <w:highlight w:val="none"/>
          <w:lang w:eastAsia="zh-CN"/>
        </w:rPr>
        <w:t>章 附则</w:t>
      </w:r>
    </w:p>
    <w:p w14:paraId="4725AB84">
      <w:pPr>
        <w:pStyle w:val="5"/>
        <w:widowControl/>
        <w:rPr>
          <w:rFonts w:hint="eastAsia" w:ascii="Calibri" w:hAnsi="Calibri" w:eastAsia="仿宋_GB2312" w:cs="Times New Roman"/>
          <w:color w:val="auto"/>
          <w:sz w:val="32"/>
          <w:highlight w:val="none"/>
          <w:lang w:val="en-US" w:eastAsia="zh-CN"/>
        </w:rPr>
      </w:pPr>
      <w:r>
        <w:rPr>
          <w:rFonts w:hint="eastAsia" w:ascii="Calibri" w:hAnsi="Calibri" w:eastAsia="仿宋_GB2312" w:cs="Times New Roman"/>
          <w:b/>
          <w:color w:val="auto"/>
          <w:sz w:val="32"/>
          <w:highlight w:val="none"/>
        </w:rPr>
        <w:t>第</w:t>
      </w:r>
      <w:r>
        <w:rPr>
          <w:rFonts w:hint="eastAsia" w:cs="Times New Roman"/>
          <w:b/>
          <w:color w:val="auto"/>
          <w:sz w:val="32"/>
          <w:highlight w:val="none"/>
          <w:lang w:val="en-US" w:eastAsia="zh-CN"/>
        </w:rPr>
        <w:t>四十三</w:t>
      </w:r>
      <w:r>
        <w:rPr>
          <w:rFonts w:hint="eastAsia" w:ascii="Calibri" w:hAnsi="Calibri" w:eastAsia="仿宋_GB2312" w:cs="Times New Roman"/>
          <w:b/>
          <w:color w:val="auto"/>
          <w:sz w:val="32"/>
          <w:highlight w:val="none"/>
        </w:rPr>
        <w:t xml:space="preserve">条 </w:t>
      </w:r>
      <w:r>
        <w:rPr>
          <w:rFonts w:ascii="Calibri" w:hAnsi="Calibri" w:eastAsia="仿宋_GB2312" w:cs="Times New Roman"/>
          <w:color w:val="auto"/>
          <w:sz w:val="32"/>
          <w:highlight w:val="none"/>
        </w:rPr>
        <w:t>本办法由苏州市相城区人民政府负责解释，具体解释工作由区</w:t>
      </w:r>
      <w:r>
        <w:rPr>
          <w:rFonts w:hint="eastAsia" w:ascii="Calibri" w:hAnsi="Calibri" w:eastAsia="仿宋_GB2312" w:cs="Times New Roman"/>
          <w:color w:val="auto"/>
          <w:sz w:val="32"/>
          <w:highlight w:val="none"/>
          <w:lang w:val="en-US" w:eastAsia="zh-CN"/>
        </w:rPr>
        <w:t>资规分局</w:t>
      </w:r>
      <w:r>
        <w:rPr>
          <w:rFonts w:ascii="Calibri" w:hAnsi="Calibri" w:eastAsia="仿宋_GB2312" w:cs="Times New Roman"/>
          <w:color w:val="auto"/>
          <w:sz w:val="32"/>
          <w:highlight w:val="none"/>
        </w:rPr>
        <w:t>会同区农业农村局、区财政局承担。</w:t>
      </w:r>
      <w:r>
        <w:rPr>
          <w:rFonts w:hint="eastAsia" w:ascii="Calibri" w:hAnsi="Calibri" w:eastAsia="仿宋_GB2312" w:cs="Times New Roman"/>
          <w:color w:val="auto"/>
          <w:sz w:val="32"/>
          <w:highlight w:val="none"/>
          <w:lang w:val="en-US" w:eastAsia="zh-CN"/>
        </w:rPr>
        <w:t xml:space="preserve"> </w:t>
      </w:r>
    </w:p>
    <w:p w14:paraId="68321142">
      <w:pPr>
        <w:pStyle w:val="5"/>
        <w:widowControl/>
        <w:ind w:left="0" w:leftChars="0" w:firstLine="640" w:firstLineChars="200"/>
        <w:jc w:val="both"/>
        <w:rPr>
          <w:rFonts w:hint="eastAsia" w:ascii="仿宋_GB2312" w:hAnsi="仿宋_GB2312" w:eastAsia="仿宋_GB2312" w:cs="仿宋_GB2312"/>
          <w:b/>
          <w:color w:val="auto"/>
          <w:sz w:val="60"/>
          <w:szCs w:val="40"/>
          <w:highlight w:val="none"/>
          <w:lang w:eastAsia="zh-CN"/>
        </w:rPr>
      </w:pPr>
      <w:r>
        <w:rPr>
          <w:rFonts w:ascii="Calibri" w:hAnsi="Calibri" w:eastAsia="仿宋_GB2312" w:cs="Times New Roman"/>
          <w:color w:val="auto"/>
          <w:sz w:val="32"/>
          <w:highlight w:val="none"/>
        </w:rPr>
        <w:t>本办法自发布之日起执行，执行期间，如上级部门出台新的政策，按新的政策执行</w:t>
      </w:r>
      <w:r>
        <w:rPr>
          <w:rFonts w:hint="eastAsia" w:cs="Times New Roman"/>
          <w:color w:val="auto"/>
          <w:sz w:val="32"/>
          <w:highlight w:val="none"/>
          <w:lang w:eastAsia="zh-CN"/>
        </w:rPr>
        <w:t>。</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C9ADA">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07C6BFE">
                          <w:pPr>
                            <w:pStyle w:val="6"/>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507C6BFE">
                    <w:pPr>
                      <w:pStyle w:val="6"/>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A42DF2"/>
    <w:rsid w:val="04041954"/>
    <w:rsid w:val="06731CDD"/>
    <w:rsid w:val="068F6DED"/>
    <w:rsid w:val="07CF684D"/>
    <w:rsid w:val="0AE47DFA"/>
    <w:rsid w:val="0B4345EC"/>
    <w:rsid w:val="0BE46715"/>
    <w:rsid w:val="0EF97BEC"/>
    <w:rsid w:val="10240EE9"/>
    <w:rsid w:val="10D12E24"/>
    <w:rsid w:val="118754D9"/>
    <w:rsid w:val="120E7E53"/>
    <w:rsid w:val="12A06855"/>
    <w:rsid w:val="134B73E2"/>
    <w:rsid w:val="134C6EAE"/>
    <w:rsid w:val="13979B0B"/>
    <w:rsid w:val="1B7927E1"/>
    <w:rsid w:val="23F30C56"/>
    <w:rsid w:val="244514B2"/>
    <w:rsid w:val="254F1AAD"/>
    <w:rsid w:val="262E3F38"/>
    <w:rsid w:val="2C784B05"/>
    <w:rsid w:val="2CB745B8"/>
    <w:rsid w:val="2EA24179"/>
    <w:rsid w:val="31024FC4"/>
    <w:rsid w:val="339C3834"/>
    <w:rsid w:val="390B0AC4"/>
    <w:rsid w:val="39FD5F33"/>
    <w:rsid w:val="3BA3792F"/>
    <w:rsid w:val="3CB32BD4"/>
    <w:rsid w:val="3D50442D"/>
    <w:rsid w:val="3E3F7281"/>
    <w:rsid w:val="3EBC584E"/>
    <w:rsid w:val="43F81C45"/>
    <w:rsid w:val="45957DF1"/>
    <w:rsid w:val="4952464A"/>
    <w:rsid w:val="4BB356F2"/>
    <w:rsid w:val="4C347895"/>
    <w:rsid w:val="4E5E4D9B"/>
    <w:rsid w:val="51BE0A70"/>
    <w:rsid w:val="52DD4ABD"/>
    <w:rsid w:val="571616E3"/>
    <w:rsid w:val="5CE70955"/>
    <w:rsid w:val="5D0439AA"/>
    <w:rsid w:val="5D333896"/>
    <w:rsid w:val="5E8C30F0"/>
    <w:rsid w:val="5F135456"/>
    <w:rsid w:val="60C5496C"/>
    <w:rsid w:val="63186FC0"/>
    <w:rsid w:val="6418036A"/>
    <w:rsid w:val="64356146"/>
    <w:rsid w:val="643C2CD1"/>
    <w:rsid w:val="65AE4402"/>
    <w:rsid w:val="672F50CE"/>
    <w:rsid w:val="69F52503"/>
    <w:rsid w:val="6AE747BC"/>
    <w:rsid w:val="6B5875C3"/>
    <w:rsid w:val="6CCE0C71"/>
    <w:rsid w:val="6DF350A8"/>
    <w:rsid w:val="6F8D6E36"/>
    <w:rsid w:val="6FD60914"/>
    <w:rsid w:val="75B415C0"/>
    <w:rsid w:val="764B6A6E"/>
    <w:rsid w:val="76D13614"/>
    <w:rsid w:val="77F739E6"/>
    <w:rsid w:val="7AB076DD"/>
    <w:rsid w:val="7CBE2D25"/>
    <w:rsid w:val="7F206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keepNext w:val="0"/>
      <w:keepLines w:val="0"/>
      <w:pageBreakBefore w:val="0"/>
      <w:widowControl w:val="0"/>
      <w:kinsoku/>
      <w:wordWrap/>
      <w:overflowPunct w:val="0"/>
      <w:topLinePunct w:val="0"/>
      <w:autoSpaceDE/>
      <w:autoSpaceDN/>
      <w:bidi w:val="0"/>
      <w:adjustRightInd/>
      <w:spacing w:line="576" w:lineRule="exact"/>
      <w:ind w:firstLine="640" w:firstLineChars="200"/>
      <w:jc w:val="both"/>
      <w:textAlignment w:val="auto"/>
      <w:outlineLvl w:val="9"/>
    </w:pPr>
    <w:rPr>
      <w:rFonts w:ascii="Calibri" w:hAnsi="Calibri" w:eastAsia="仿宋_GB2312" w:cs="Times New Roman"/>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itle"/>
    <w:qFormat/>
    <w:uiPriority w:val="0"/>
    <w:pPr>
      <w:widowControl w:val="0"/>
      <w:overflowPunct w:val="0"/>
      <w:spacing w:line="579" w:lineRule="exact"/>
      <w:jc w:val="center"/>
      <w:outlineLvl w:val="9"/>
    </w:pPr>
    <w:rPr>
      <w:rFonts w:ascii="方正小标宋_GBK" w:hAnsi="Calibri" w:eastAsia="方正小标宋_GBK" w:cs="Times New Roman"/>
      <w:kern w:val="2"/>
      <w:sz w:val="44"/>
      <w:szCs w:val="44"/>
      <w:lang w:bidi="ar-SA"/>
    </w:rPr>
  </w:style>
  <w:style w:type="character" w:styleId="11">
    <w:name w:val="Strong"/>
    <w:basedOn w:val="10"/>
    <w:qFormat/>
    <w:uiPriority w:val="0"/>
    <w:rPr>
      <w:b/>
    </w:rPr>
  </w:style>
  <w:style w:type="paragraph" w:customStyle="1" w:styleId="12">
    <w:name w:val="章标题"/>
    <w:next w:val="1"/>
    <w:qFormat/>
    <w:uiPriority w:val="0"/>
    <w:pPr>
      <w:widowControl w:val="0"/>
      <w:spacing w:line="560" w:lineRule="exact"/>
      <w:jc w:val="center"/>
      <w:outlineLvl w:val="0"/>
    </w:pPr>
    <w:rPr>
      <w:rFonts w:ascii="黑体" w:hAnsi="黑体" w:eastAsia="黑体" w:cs="黑体"/>
      <w:bCs/>
      <w:spacing w:val="-6"/>
      <w:kern w:val="44"/>
      <w:sz w:val="32"/>
      <w:szCs w:val="32"/>
      <w:lang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xmlns="http://schemas.wps.cn/vas-ai-hub/contract-review">
    <reviewItem xmlns="http://schemas.wps.cn/vas-ai-hub/contract-review">
      <errorID xmlns="http://schemas.wps.cn/vas-ai-hub/contract-review">9097ecfc-de37-4971-b16d-4257107d1442</errorID>
      <errorWord xmlns="http://schemas.wps.cn/vas-ai-hub/contract-review">中华人民共和国土地管理法</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explain xmlns="http://schemas.wps.cn/vas-ai-hub/contract-review">当前法律法规未收录或尚未生效，注意核查是否正确。</explain>
      <paraID xmlns="http://schemas.wps.cn/vas-ai-hub/contract-review">23093B4A</paraID>
      <start xmlns="http://schemas.wps.cn/vas-ai-hub/contract-review">59</start>
      <end xmlns="http://schemas.wps.cn/vas-ai-hub/contract-review">71</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aca4f76c-dee2-423c-ab37-e344f7dfd22b</errorID>
      <errorWord xmlns="http://schemas.wps.cn/vas-ai-hub/contract-review">法律、法规</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法律法规</item>
      </candidateList>
      <explain xmlns="http://schemas.wps.cn/vas-ai-hub/contract-review"/>
      <paraID xmlns="http://schemas.wps.cn/vas-ai-hub/contract-review">263C524B</paraID>
      <start xmlns="http://schemas.wps.cn/vas-ai-hub/contract-review">34</start>
      <end xmlns="http://schemas.wps.cn/vas-ai-hub/contract-review">39</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07de3d11-68b8-484f-8f8d-d9f249201c03</errorID>
      <errorWord xmlns="http://schemas.wps.cn/vas-ai-hub/contract-review">集体经济型</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集体经济</item>
      </candidateList>
      <explain xmlns="http://schemas.wps.cn/vas-ai-hub/contract-review"/>
      <paraID xmlns="http://schemas.wps.cn/vas-ai-hub/contract-review">41DF5587</paraID>
      <start xmlns="http://schemas.wps.cn/vas-ai-hub/contract-review">210</start>
      <end xmlns="http://schemas.wps.cn/vas-ai-hub/contract-review">215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10d2f2cc-39ae-4731-af73-9d05685e6464</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21D9C9D6</paraID>
      <start xmlns="http://schemas.wps.cn/vas-ai-hub/contract-review">14</start>
      <end xmlns="http://schemas.wps.cn/vas-ai-hub/contract-review">15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b07d266e-1fbb-4b5d-8245-0721419faf77</errorID>
      <errorWord xmlns="http://schemas.wps.cn/vas-ai-hub/contract-review">入市</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及入市</item>
      </candidateList>
      <explain xmlns="http://schemas.wps.cn/vas-ai-hub/contract-review"/>
      <paraID xmlns="http://schemas.wps.cn/vas-ai-hub/contract-review">3662B0F4</paraID>
      <start xmlns="http://schemas.wps.cn/vas-ai-hub/contract-review">15</start>
      <end xmlns="http://schemas.wps.cn/vas-ai-hub/contract-review">17</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88dac5b0-1fae-44db-9064-34f731c8b851</errorID>
      <errorWord xmlns="http://schemas.wps.cn/vas-ai-hub/contract-review">&lt;</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1CCFB0BD</paraID>
      <start xmlns="http://schemas.wps.cn/vas-ai-hub/contract-review">87</start>
      <end xmlns="http://schemas.wps.cn/vas-ai-hub/contract-review">88</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6cc2a2fb-2fb8-494b-a52e-3669e5eeba51</errorID>
      <errorWord xmlns="http://schemas.wps.cn/vas-ai-hub/contract-review">&gt;）</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1CCFB0BD</paraID>
      <start xmlns="http://schemas.wps.cn/vas-ai-hub/contract-review">90</start>
      <end xmlns="http://schemas.wps.cn/vas-ai-hub/contract-review">92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0b480248-5f80-4b73-95be-74be5451bdd0</errorID>
      <errorWord xmlns="http://schemas.wps.cn/vas-ai-hub/contract-review">&lt;</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1CCFB0BD</paraID>
      <start xmlns="http://schemas.wps.cn/vas-ai-hub/contract-review">114</start>
      <end xmlns="http://schemas.wps.cn/vas-ai-hub/contract-review">115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1d9efa6c-45a0-4b14-b6ae-7175bc1b6a6e</errorID>
      <errorWord xmlns="http://schemas.wps.cn/vas-ai-hub/contract-review">&gt;）</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1CCFB0BD</paraID>
      <start xmlns="http://schemas.wps.cn/vas-ai-hub/contract-review">117</start>
      <end xmlns="http://schemas.wps.cn/vas-ai-hub/contract-review">119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5acf20d8-bb2a-4cc7-863c-bb4e6777c6e5</errorID>
      <errorWord xmlns="http://schemas.wps.cn/vas-ai-hub/contract-review">&lt;</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5C599AAF</paraID>
      <start xmlns="http://schemas.wps.cn/vas-ai-hub/contract-review">84</start>
      <end xmlns="http://schemas.wps.cn/vas-ai-hub/contract-review">85</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9fc29963-ad83-4faa-a6b2-12b1a145a81d</errorID>
      <errorWord xmlns="http://schemas.wps.cn/vas-ai-hub/contract-review">&gt;）</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5C599AAF</paraID>
      <start xmlns="http://schemas.wps.cn/vas-ai-hub/contract-review">87</start>
      <end xmlns="http://schemas.wps.cn/vas-ai-hub/contract-review">89</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b590df8c-9459-41f3-9c3b-23155d446be9</errorID>
      <errorWord xmlns="http://schemas.wps.cn/vas-ai-hub/contract-review">应</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应当</item>
      </candidateList>
      <explain xmlns="http://schemas.wps.cn/vas-ai-hub/contract-review"/>
      <paraID xmlns="http://schemas.wps.cn/vas-ai-hub/contract-review"> 1407CDB</paraID>
      <start xmlns="http://schemas.wps.cn/vas-ai-hub/contract-review">21</start>
      <end xmlns="http://schemas.wps.cn/vas-ai-hub/contract-review">22</end>
      <status xmlns="http://schemas.wps.cn/vas-ai-hub/contract-review">unmodified</status>
      <modifiedWord xmlns="http://schemas.wps.cn/vas-ai-hub/contract-review"/>
      <trackRevisions xmlns="http://schemas.wps.cn/vas-ai-hub/contract-review">false</trackRevisions>
    </reviewItem>
    <reviewItem xmlns="http://schemas.wps.cn/vas-ai-hub/contract-review">
      <errorID xmlns="http://schemas.wps.cn/vas-ai-hub/contract-review">a3ccc1ec-d739-4e82-bdb3-209aad36c5d3</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item xmlns="http://schemas.wps.cn/vas-ai-hub/contract-review">。</item>
      </candidateList>
      <explain xmlns="http://schemas.wps.cn/vas-ai-hub/contract-review"/>
      <paraID xmlns="http://schemas.wps.cn/vas-ai-hub/contract-review">5CCCEE36</paraID>
      <start xmlns="http://schemas.wps.cn/vas-ai-hub/contract-review">142</start>
      <end xmlns="http://schemas.wps.cn/vas-ai-hub/contract-review">143</end>
      <status xmlns="http://schemas.wps.cn/vas-ai-hub/contract-review">unmodified</status>
      <modifiedWord xmlns="http://schemas.wps.cn/vas-ai-hub/contract-review"/>
      <trackRevisions xmlns="http://schemas.wps.cn/vas-ai-hub/contract-review">false</trackRevisions>
    </reviewItem>
  </reviewItems>
  <config xmlns="http://schemas.wps.cn/vas-ai-hub/contract-review"/>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5bb406-edc0-4e25-9c0d-e4953a8f028e}">
  <ds:schemaRefs/>
</ds:datastoreItem>
</file>

<file path=docProps/app.xml><?xml version="1.0" encoding="utf-8"?>
<Properties xmlns="http://schemas.openxmlformats.org/officeDocument/2006/extended-properties" xmlns:vt="http://schemas.openxmlformats.org/officeDocument/2006/docPropsVTypes">
  <Template>Normal.dotm</Template>
  <Pages>16</Pages>
  <Words>7234</Words>
  <Characters>7257</Characters>
  <Lines>0</Lines>
  <Paragraphs>0</Paragraphs>
  <TotalTime>3</TotalTime>
  <ScaleCrop>false</ScaleCrop>
  <LinksUpToDate>false</LinksUpToDate>
  <CharactersWithSpaces>7323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2026-03-24T13:10:00Z</dcterms:created>
  <dc:creator>Administrator</dc:creator>
  <cp:lastModifiedBy>vera</cp:lastModifiedBy>
  <cp:lastPrinted>2026-03-29T19:45:00Z</cp:lastPrinted>
  <dcterms:modified xsi:type="dcterms:W3CDTF">2026-04-15T08:49:27Z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eyJoZGlkIjoiMWNmZTVjMWFlNDhiZTNlYmE5N2I1NDhkOGY5ZjE5NzUiLCJ1c2VySWQiOiIxMTIwMzI1OTU3In0=</vt:lpwstr>
  </property>
  <property fmtid="{D5CDD505-2E9C-101B-9397-08002B2CF9AE}" pid="4" name="ICV">
    <vt:lpwstr>5014F26588784503BBE52244743AE110_13</vt:lpwstr>
  </property>
</Properties>
</file>